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70"/>
        <w:ind w:left="6016" w:right="0" w:firstLine="0"/>
        <w:jc w:val="left"/>
        <w:rPr>
          <w:b/>
          <w:sz w:val="32"/>
        </w:rPr>
      </w:pPr>
      <w:r>
        <w:rPr>
          <w:b/>
          <w:color w:val="3A69FF"/>
          <w:sz w:val="32"/>
        </w:rPr>
        <w:t>Asset</w:t>
      </w:r>
      <w:r>
        <w:rPr>
          <w:b/>
          <w:color w:val="3A69FF"/>
          <w:spacing w:val="-17"/>
          <w:sz w:val="32"/>
        </w:rPr>
        <w:t> </w:t>
      </w:r>
      <w:r>
        <w:rPr>
          <w:b/>
          <w:color w:val="3A69FF"/>
          <w:sz w:val="32"/>
        </w:rPr>
        <w:t>Liability</w:t>
      </w:r>
      <w:r>
        <w:rPr>
          <w:b/>
          <w:color w:val="3A69FF"/>
          <w:spacing w:val="-31"/>
          <w:sz w:val="32"/>
        </w:rPr>
        <w:t> </w:t>
      </w:r>
      <w:r>
        <w:rPr>
          <w:b/>
          <w:color w:val="3A69FF"/>
          <w:spacing w:val="-2"/>
          <w:sz w:val="32"/>
        </w:rPr>
        <w:t>Management</w:t>
      </w:r>
    </w:p>
    <w:p>
      <w:pPr>
        <w:pStyle w:val="BodyText"/>
        <w:spacing w:before="3"/>
        <w:rPr>
          <w:b/>
          <w:sz w:val="14"/>
        </w:rPr>
      </w:pPr>
      <w:r>
        <w:rPr/>
        <w:drawing>
          <wp:anchor distT="0" distB="0" distL="0" distR="0" allowOverlap="1" layoutInCell="1" locked="0" behindDoc="1" simplePos="0" relativeHeight="487587840">
            <wp:simplePos x="0" y="0"/>
            <wp:positionH relativeFrom="page">
              <wp:posOffset>977900</wp:posOffset>
            </wp:positionH>
            <wp:positionV relativeFrom="paragraph">
              <wp:posOffset>119526</wp:posOffset>
            </wp:positionV>
            <wp:extent cx="734608" cy="768096"/>
            <wp:effectExtent l="0" t="0" r="0" b="0"/>
            <wp:wrapTopAndBottom/>
            <wp:docPr id="1" name="Image 1" descr="A blue and white logo  Description automatically generated"/>
            <wp:cNvGraphicFramePr>
              <a:graphicFrameLocks/>
            </wp:cNvGraphicFramePr>
            <a:graphic>
              <a:graphicData uri="http://schemas.openxmlformats.org/drawingml/2006/picture">
                <pic:pic>
                  <pic:nvPicPr>
                    <pic:cNvPr id="1" name="Image 1" descr="A blue and white logo  Description automatically generated"/>
                    <pic:cNvPicPr/>
                  </pic:nvPicPr>
                  <pic:blipFill>
                    <a:blip r:embed="rId5" cstate="print"/>
                    <a:stretch>
                      <a:fillRect/>
                    </a:stretch>
                  </pic:blipFill>
                  <pic:spPr>
                    <a:xfrm>
                      <a:off x="0" y="0"/>
                      <a:ext cx="734608" cy="768096"/>
                    </a:xfrm>
                    <a:prstGeom prst="rect">
                      <a:avLst/>
                    </a:prstGeom>
                  </pic:spPr>
                </pic:pic>
              </a:graphicData>
            </a:graphic>
          </wp:anchor>
        </w:drawing>
      </w:r>
      <w:r>
        <w:rPr/>
        <w:drawing>
          <wp:anchor distT="0" distB="0" distL="0" distR="0" allowOverlap="1" layoutInCell="1" locked="0" behindDoc="1" simplePos="0" relativeHeight="487588352">
            <wp:simplePos x="0" y="0"/>
            <wp:positionH relativeFrom="page">
              <wp:posOffset>1042935</wp:posOffset>
            </wp:positionH>
            <wp:positionV relativeFrom="paragraph">
              <wp:posOffset>956053</wp:posOffset>
            </wp:positionV>
            <wp:extent cx="5329021" cy="1395602"/>
            <wp:effectExtent l="0" t="0" r="0" b="0"/>
            <wp:wrapTopAndBottom/>
            <wp:docPr id="2" name="Image 2" descr="A close up of a sign  Description automatically generated"/>
            <wp:cNvGraphicFramePr>
              <a:graphicFrameLocks/>
            </wp:cNvGraphicFramePr>
            <a:graphic>
              <a:graphicData uri="http://schemas.openxmlformats.org/drawingml/2006/picture">
                <pic:pic>
                  <pic:nvPicPr>
                    <pic:cNvPr id="2" name="Image 2" descr="A close up of a sign  Description automatically generated"/>
                    <pic:cNvPicPr/>
                  </pic:nvPicPr>
                  <pic:blipFill>
                    <a:blip r:embed="rId6" cstate="print"/>
                    <a:stretch>
                      <a:fillRect/>
                    </a:stretch>
                  </pic:blipFill>
                  <pic:spPr>
                    <a:xfrm>
                      <a:off x="0" y="0"/>
                      <a:ext cx="5329021" cy="1395602"/>
                    </a:xfrm>
                    <a:prstGeom prst="rect">
                      <a:avLst/>
                    </a:prstGeom>
                  </pic:spPr>
                </pic:pic>
              </a:graphicData>
            </a:graphic>
          </wp:anchor>
        </w:drawing>
      </w:r>
    </w:p>
    <w:p>
      <w:pPr>
        <w:pStyle w:val="BodyText"/>
        <w:spacing w:before="3"/>
        <w:rPr>
          <w:b/>
          <w:sz w:val="7"/>
        </w:rPr>
      </w:pPr>
    </w:p>
    <w:p>
      <w:pPr>
        <w:pStyle w:val="BodyText"/>
        <w:spacing w:before="4"/>
        <w:rPr>
          <w:b/>
          <w:sz w:val="4"/>
        </w:rPr>
      </w:pPr>
    </w:p>
    <w:tbl>
      <w:tblPr>
        <w:tblW w:w="0" w:type="auto"/>
        <w:jc w:val="left"/>
        <w:tblInd w:w="1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123"/>
        <w:gridCol w:w="632"/>
        <w:gridCol w:w="5977"/>
      </w:tblGrid>
      <w:tr>
        <w:trPr>
          <w:trHeight w:val="446" w:hRule="atLeast"/>
        </w:trPr>
        <w:tc>
          <w:tcPr>
            <w:tcW w:w="2123" w:type="dxa"/>
          </w:tcPr>
          <w:p>
            <w:pPr>
              <w:pStyle w:val="TableParagraph"/>
              <w:spacing w:before="1"/>
              <w:rPr>
                <w:b/>
                <w:sz w:val="9"/>
              </w:rPr>
            </w:pPr>
          </w:p>
          <w:p>
            <w:pPr>
              <w:pStyle w:val="TableParagraph"/>
              <w:spacing w:line="210" w:lineRule="exact"/>
              <w:ind w:left="231"/>
              <w:rPr>
                <w:sz w:val="20"/>
              </w:rPr>
            </w:pPr>
            <w:r>
              <w:rPr>
                <w:position w:val="-3"/>
                <w:sz w:val="20"/>
              </w:rPr>
              <w:drawing>
                <wp:inline distT="0" distB="0" distL="0" distR="0">
                  <wp:extent cx="946690" cy="133350"/>
                  <wp:effectExtent l="0" t="0" r="0" b="0"/>
                  <wp:docPr id="3" name="Image 3"/>
                  <wp:cNvGraphicFramePr>
                    <a:graphicFrameLocks/>
                  </wp:cNvGraphicFramePr>
                  <a:graphic>
                    <a:graphicData uri="http://schemas.openxmlformats.org/drawingml/2006/picture">
                      <pic:pic>
                        <pic:nvPicPr>
                          <pic:cNvPr id="3" name="Image 3"/>
                          <pic:cNvPicPr/>
                        </pic:nvPicPr>
                        <pic:blipFill>
                          <a:blip r:embed="rId7" cstate="print"/>
                          <a:stretch>
                            <a:fillRect/>
                          </a:stretch>
                        </pic:blipFill>
                        <pic:spPr>
                          <a:xfrm>
                            <a:off x="0" y="0"/>
                            <a:ext cx="946690" cy="133350"/>
                          </a:xfrm>
                          <a:prstGeom prst="rect">
                            <a:avLst/>
                          </a:prstGeom>
                        </pic:spPr>
                      </pic:pic>
                    </a:graphicData>
                  </a:graphic>
                </wp:inline>
              </w:drawing>
            </w:r>
            <w:r>
              <w:rPr>
                <w:position w:val="-3"/>
                <w:sz w:val="20"/>
              </w:rPr>
            </w:r>
          </w:p>
        </w:tc>
        <w:tc>
          <w:tcPr>
            <w:tcW w:w="6609" w:type="dxa"/>
            <w:gridSpan w:val="2"/>
          </w:tcPr>
          <w:p>
            <w:pPr>
              <w:pStyle w:val="TableParagraph"/>
              <w:rPr>
                <w:rFonts w:ascii="Times New Roman"/>
                <w:sz w:val="26"/>
              </w:rPr>
            </w:pPr>
          </w:p>
        </w:tc>
      </w:tr>
      <w:tr>
        <w:trPr>
          <w:trHeight w:val="326" w:hRule="atLeast"/>
        </w:trPr>
        <w:tc>
          <w:tcPr>
            <w:tcW w:w="2123" w:type="dxa"/>
            <w:vMerge w:val="restart"/>
          </w:tcPr>
          <w:p>
            <w:pPr>
              <w:pStyle w:val="TableParagraph"/>
              <w:spacing w:before="8" w:after="1"/>
              <w:rPr>
                <w:b/>
                <w:sz w:val="19"/>
              </w:rPr>
            </w:pPr>
          </w:p>
          <w:p>
            <w:pPr>
              <w:pStyle w:val="TableParagraph"/>
              <w:ind w:left="203"/>
              <w:rPr>
                <w:sz w:val="20"/>
              </w:rPr>
            </w:pPr>
            <w:r>
              <w:rPr>
                <w:sz w:val="20"/>
              </w:rPr>
              <w:drawing>
                <wp:inline distT="0" distB="0" distL="0" distR="0">
                  <wp:extent cx="685799" cy="171450"/>
                  <wp:effectExtent l="0" t="0" r="0" b="0"/>
                  <wp:docPr id="4" name="Image 4"/>
                  <wp:cNvGraphicFramePr>
                    <a:graphicFrameLocks/>
                  </wp:cNvGraphicFramePr>
                  <a:graphic>
                    <a:graphicData uri="http://schemas.openxmlformats.org/drawingml/2006/picture">
                      <pic:pic>
                        <pic:nvPicPr>
                          <pic:cNvPr id="4" name="Image 4"/>
                          <pic:cNvPicPr/>
                        </pic:nvPicPr>
                        <pic:blipFill>
                          <a:blip r:embed="rId8" cstate="print"/>
                          <a:stretch>
                            <a:fillRect/>
                          </a:stretch>
                        </pic:blipFill>
                        <pic:spPr>
                          <a:xfrm>
                            <a:off x="0" y="0"/>
                            <a:ext cx="685799" cy="171450"/>
                          </a:xfrm>
                          <a:prstGeom prst="rect">
                            <a:avLst/>
                          </a:prstGeom>
                        </pic:spPr>
                      </pic:pic>
                    </a:graphicData>
                  </a:graphic>
                </wp:inline>
              </w:drawing>
            </w:r>
            <w:r>
              <w:rPr>
                <w:sz w:val="20"/>
              </w:rPr>
            </w:r>
          </w:p>
        </w:tc>
        <w:tc>
          <w:tcPr>
            <w:tcW w:w="632" w:type="dxa"/>
            <w:tcBorders>
              <w:bottom w:val="nil"/>
              <w:right w:val="nil"/>
            </w:tcBorders>
          </w:tcPr>
          <w:p>
            <w:pPr>
              <w:pStyle w:val="TableParagraph"/>
              <w:spacing w:line="292" w:lineRule="exact" w:before="14"/>
              <w:ind w:left="114"/>
              <w:rPr>
                <w:rFonts w:ascii="MS Gothic" w:hAnsi="MS Gothic"/>
                <w:sz w:val="24"/>
              </w:rPr>
            </w:pPr>
            <w:r>
              <w:rPr>
                <w:rFonts w:ascii="MS Gothic" w:hAnsi="MS Gothic"/>
                <w:spacing w:val="-10"/>
                <w:sz w:val="24"/>
              </w:rPr>
              <w:t>☒</w:t>
            </w:r>
          </w:p>
        </w:tc>
        <w:tc>
          <w:tcPr>
            <w:tcW w:w="5977" w:type="dxa"/>
            <w:tcBorders>
              <w:left w:val="nil"/>
              <w:bottom w:val="nil"/>
            </w:tcBorders>
          </w:tcPr>
          <w:p>
            <w:pPr>
              <w:pStyle w:val="TableParagraph"/>
              <w:spacing w:before="7"/>
              <w:rPr>
                <w:b/>
                <w:sz w:val="7"/>
              </w:rPr>
            </w:pPr>
          </w:p>
          <w:p>
            <w:pPr>
              <w:pStyle w:val="TableParagraph"/>
              <w:spacing w:line="195" w:lineRule="exact"/>
              <w:ind w:left="279"/>
              <w:rPr>
                <w:sz w:val="19"/>
              </w:rPr>
            </w:pPr>
            <w:r>
              <w:rPr>
                <w:position w:val="-3"/>
                <w:sz w:val="19"/>
              </w:rPr>
              <w:drawing>
                <wp:inline distT="0" distB="0" distL="0" distR="0">
                  <wp:extent cx="1562100" cy="123825"/>
                  <wp:effectExtent l="0" t="0" r="0" b="0"/>
                  <wp:docPr id="5" name="Image 5" descr="A white background with black text  AI-generated content may be incorrect."/>
                  <wp:cNvGraphicFramePr>
                    <a:graphicFrameLocks/>
                  </wp:cNvGraphicFramePr>
                  <a:graphic>
                    <a:graphicData uri="http://schemas.openxmlformats.org/drawingml/2006/picture">
                      <pic:pic>
                        <pic:nvPicPr>
                          <pic:cNvPr id="5" name="Image 5" descr="A white background with black text  AI-generated content may be incorrect."/>
                          <pic:cNvPicPr/>
                        </pic:nvPicPr>
                        <pic:blipFill>
                          <a:blip r:embed="rId9" cstate="print"/>
                          <a:stretch>
                            <a:fillRect/>
                          </a:stretch>
                        </pic:blipFill>
                        <pic:spPr>
                          <a:xfrm>
                            <a:off x="0" y="0"/>
                            <a:ext cx="1562100" cy="123825"/>
                          </a:xfrm>
                          <a:prstGeom prst="rect">
                            <a:avLst/>
                          </a:prstGeom>
                        </pic:spPr>
                      </pic:pic>
                    </a:graphicData>
                  </a:graphic>
                </wp:inline>
              </w:drawing>
            </w:r>
            <w:r>
              <w:rPr>
                <w:position w:val="-3"/>
                <w:sz w:val="19"/>
              </w:rPr>
            </w:r>
          </w:p>
        </w:tc>
      </w:tr>
      <w:tr>
        <w:trPr>
          <w:trHeight w:val="365"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2" w:lineRule="exact" w:before="33"/>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10" w:after="1"/>
              <w:rPr>
                <w:b/>
                <w:sz w:val="8"/>
              </w:rPr>
            </w:pPr>
          </w:p>
          <w:p>
            <w:pPr>
              <w:pStyle w:val="TableParagraph"/>
              <w:spacing w:line="195" w:lineRule="exact"/>
              <w:ind w:left="287"/>
              <w:rPr>
                <w:sz w:val="19"/>
              </w:rPr>
            </w:pPr>
            <w:r>
              <w:rPr>
                <w:position w:val="-3"/>
                <w:sz w:val="19"/>
              </w:rPr>
              <w:drawing>
                <wp:inline distT="0" distB="0" distL="0" distR="0">
                  <wp:extent cx="2666999" cy="123825"/>
                  <wp:effectExtent l="0" t="0" r="0" b="0"/>
                  <wp:docPr id="6" name="Image 6" descr="A white background with black text  AI-generated content may be incorrect."/>
                  <wp:cNvGraphicFramePr>
                    <a:graphicFrameLocks/>
                  </wp:cNvGraphicFramePr>
                  <a:graphic>
                    <a:graphicData uri="http://schemas.openxmlformats.org/drawingml/2006/picture">
                      <pic:pic>
                        <pic:nvPicPr>
                          <pic:cNvPr id="6" name="Image 6" descr="A white background with black text  AI-generated content may be incorrect."/>
                          <pic:cNvPicPr/>
                        </pic:nvPicPr>
                        <pic:blipFill>
                          <a:blip r:embed="rId10" cstate="print"/>
                          <a:stretch>
                            <a:fillRect/>
                          </a:stretch>
                        </pic:blipFill>
                        <pic:spPr>
                          <a:xfrm>
                            <a:off x="0" y="0"/>
                            <a:ext cx="2666999" cy="123825"/>
                          </a:xfrm>
                          <a:prstGeom prst="rect">
                            <a:avLst/>
                          </a:prstGeom>
                        </pic:spPr>
                      </pic:pic>
                    </a:graphicData>
                  </a:graphic>
                </wp:inline>
              </w:drawing>
            </w:r>
            <w:r>
              <w:rPr>
                <w:position w:val="-3"/>
                <w:sz w:val="19"/>
              </w:rPr>
            </w:r>
          </w:p>
        </w:tc>
      </w:tr>
      <w:tr>
        <w:trPr>
          <w:trHeight w:val="345"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2" w:lineRule="exact" w:before="13"/>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6"/>
              <w:rPr>
                <w:b/>
                <w:sz w:val="6"/>
              </w:rPr>
            </w:pPr>
          </w:p>
          <w:p>
            <w:pPr>
              <w:pStyle w:val="TableParagraph"/>
              <w:spacing w:line="195" w:lineRule="exact"/>
              <w:ind w:left="292"/>
              <w:rPr>
                <w:sz w:val="19"/>
              </w:rPr>
            </w:pPr>
            <w:r>
              <w:rPr>
                <w:position w:val="-3"/>
                <w:sz w:val="19"/>
              </w:rPr>
              <w:drawing>
                <wp:inline distT="0" distB="0" distL="0" distR="0">
                  <wp:extent cx="447674" cy="123825"/>
                  <wp:effectExtent l="0" t="0" r="0" b="0"/>
                  <wp:docPr id="7" name="Image 7" descr="A white background with black text  Description automatically generated"/>
                  <wp:cNvGraphicFramePr>
                    <a:graphicFrameLocks/>
                  </wp:cNvGraphicFramePr>
                  <a:graphic>
                    <a:graphicData uri="http://schemas.openxmlformats.org/drawingml/2006/picture">
                      <pic:pic>
                        <pic:nvPicPr>
                          <pic:cNvPr id="7" name="Image 7" descr="A white background with black text  Description automatically generated"/>
                          <pic:cNvPicPr/>
                        </pic:nvPicPr>
                        <pic:blipFill>
                          <a:blip r:embed="rId11" cstate="print"/>
                          <a:stretch>
                            <a:fillRect/>
                          </a:stretch>
                        </pic:blipFill>
                        <pic:spPr>
                          <a:xfrm>
                            <a:off x="0" y="0"/>
                            <a:ext cx="447674" cy="123825"/>
                          </a:xfrm>
                          <a:prstGeom prst="rect">
                            <a:avLst/>
                          </a:prstGeom>
                        </pic:spPr>
                      </pic:pic>
                    </a:graphicData>
                  </a:graphic>
                </wp:inline>
              </w:drawing>
            </w:r>
            <w:r>
              <w:rPr>
                <w:position w:val="-3"/>
                <w:sz w:val="19"/>
              </w:rPr>
            </w:r>
          </w:p>
        </w:tc>
      </w:tr>
      <w:tr>
        <w:trPr>
          <w:trHeight w:val="345"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2" w:lineRule="exact" w:before="13"/>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6"/>
              <w:rPr>
                <w:b/>
                <w:sz w:val="7"/>
              </w:rPr>
            </w:pPr>
          </w:p>
          <w:p>
            <w:pPr>
              <w:pStyle w:val="TableParagraph"/>
              <w:spacing w:line="195" w:lineRule="exact"/>
              <w:ind w:left="289"/>
              <w:rPr>
                <w:sz w:val="19"/>
              </w:rPr>
            </w:pPr>
            <w:r>
              <w:rPr>
                <w:position w:val="-3"/>
                <w:sz w:val="19"/>
              </w:rPr>
              <w:drawing>
                <wp:inline distT="0" distB="0" distL="0" distR="0">
                  <wp:extent cx="1638300" cy="123825"/>
                  <wp:effectExtent l="0" t="0" r="0" b="0"/>
                  <wp:docPr id="8" name="Image 8" descr="A white background with black text  Description automatically generated"/>
                  <wp:cNvGraphicFramePr>
                    <a:graphicFrameLocks/>
                  </wp:cNvGraphicFramePr>
                  <a:graphic>
                    <a:graphicData uri="http://schemas.openxmlformats.org/drawingml/2006/picture">
                      <pic:pic>
                        <pic:nvPicPr>
                          <pic:cNvPr id="8" name="Image 8" descr="A white background with black text  Description automatically generated"/>
                          <pic:cNvPicPr/>
                        </pic:nvPicPr>
                        <pic:blipFill>
                          <a:blip r:embed="rId12" cstate="print"/>
                          <a:stretch>
                            <a:fillRect/>
                          </a:stretch>
                        </pic:blipFill>
                        <pic:spPr>
                          <a:xfrm>
                            <a:off x="0" y="0"/>
                            <a:ext cx="1638300" cy="123825"/>
                          </a:xfrm>
                          <a:prstGeom prst="rect">
                            <a:avLst/>
                          </a:prstGeom>
                        </pic:spPr>
                      </pic:pic>
                    </a:graphicData>
                  </a:graphic>
                </wp:inline>
              </w:drawing>
            </w:r>
            <w:r>
              <w:rPr>
                <w:position w:val="-3"/>
                <w:sz w:val="19"/>
              </w:rPr>
            </w:r>
          </w:p>
        </w:tc>
      </w:tr>
      <w:tr>
        <w:trPr>
          <w:trHeight w:val="347"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5" w:lineRule="exact" w:before="13"/>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rPr>
                <w:b/>
                <w:sz w:val="9"/>
              </w:rPr>
            </w:pPr>
          </w:p>
          <w:p>
            <w:pPr>
              <w:pStyle w:val="TableParagraph"/>
              <w:spacing w:line="195" w:lineRule="exact"/>
              <w:ind w:left="289"/>
              <w:rPr>
                <w:sz w:val="19"/>
              </w:rPr>
            </w:pPr>
            <w:r>
              <w:rPr>
                <w:position w:val="-3"/>
                <w:sz w:val="19"/>
              </w:rPr>
              <w:drawing>
                <wp:inline distT="0" distB="0" distL="0" distR="0">
                  <wp:extent cx="3400417" cy="123825"/>
                  <wp:effectExtent l="0" t="0" r="0" b="0"/>
                  <wp:docPr id="9" name="Image 9" descr="A white background with black text  Description automatically generated"/>
                  <wp:cNvGraphicFramePr>
                    <a:graphicFrameLocks/>
                  </wp:cNvGraphicFramePr>
                  <a:graphic>
                    <a:graphicData uri="http://schemas.openxmlformats.org/drawingml/2006/picture">
                      <pic:pic>
                        <pic:nvPicPr>
                          <pic:cNvPr id="9" name="Image 9" descr="A white background with black text  Description automatically generated"/>
                          <pic:cNvPicPr/>
                        </pic:nvPicPr>
                        <pic:blipFill>
                          <a:blip r:embed="rId13" cstate="print"/>
                          <a:stretch>
                            <a:fillRect/>
                          </a:stretch>
                        </pic:blipFill>
                        <pic:spPr>
                          <a:xfrm>
                            <a:off x="0" y="0"/>
                            <a:ext cx="3400417" cy="123825"/>
                          </a:xfrm>
                          <a:prstGeom prst="rect">
                            <a:avLst/>
                          </a:prstGeom>
                        </pic:spPr>
                      </pic:pic>
                    </a:graphicData>
                  </a:graphic>
                </wp:inline>
              </w:drawing>
            </w:r>
            <w:r>
              <w:rPr>
                <w:position w:val="-3"/>
                <w:sz w:val="19"/>
              </w:rPr>
            </w:r>
          </w:p>
        </w:tc>
      </w:tr>
      <w:tr>
        <w:trPr>
          <w:trHeight w:val="347"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2" w:lineRule="exact" w:before="15"/>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8"/>
              <w:rPr>
                <w:b/>
                <w:sz w:val="8"/>
              </w:rPr>
            </w:pPr>
          </w:p>
          <w:p>
            <w:pPr>
              <w:pStyle w:val="TableParagraph"/>
              <w:spacing w:line="150" w:lineRule="exact"/>
              <w:ind w:left="289"/>
              <w:rPr>
                <w:sz w:val="15"/>
              </w:rPr>
            </w:pPr>
            <w:r>
              <w:rPr>
                <w:position w:val="-2"/>
                <w:sz w:val="15"/>
              </w:rPr>
              <w:drawing>
                <wp:inline distT="0" distB="0" distL="0" distR="0">
                  <wp:extent cx="2247900" cy="95250"/>
                  <wp:effectExtent l="0" t="0" r="0" b="0"/>
                  <wp:docPr id="10" name="Image 10" descr="A white background with black text  Description automatically generated"/>
                  <wp:cNvGraphicFramePr>
                    <a:graphicFrameLocks/>
                  </wp:cNvGraphicFramePr>
                  <a:graphic>
                    <a:graphicData uri="http://schemas.openxmlformats.org/drawingml/2006/picture">
                      <pic:pic>
                        <pic:nvPicPr>
                          <pic:cNvPr id="10" name="Image 10" descr="A white background with black text  Description automatically generated"/>
                          <pic:cNvPicPr/>
                        </pic:nvPicPr>
                        <pic:blipFill>
                          <a:blip r:embed="rId14" cstate="print"/>
                          <a:stretch>
                            <a:fillRect/>
                          </a:stretch>
                        </pic:blipFill>
                        <pic:spPr>
                          <a:xfrm>
                            <a:off x="0" y="0"/>
                            <a:ext cx="2247900" cy="95250"/>
                          </a:xfrm>
                          <a:prstGeom prst="rect">
                            <a:avLst/>
                          </a:prstGeom>
                        </pic:spPr>
                      </pic:pic>
                    </a:graphicData>
                  </a:graphic>
                </wp:inline>
              </w:drawing>
            </w:r>
            <w:r>
              <w:rPr>
                <w:position w:val="-2"/>
                <w:sz w:val="15"/>
              </w:rPr>
            </w:r>
          </w:p>
        </w:tc>
      </w:tr>
      <w:tr>
        <w:trPr>
          <w:trHeight w:val="345"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2" w:lineRule="exact" w:before="13"/>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7" w:after="1"/>
              <w:rPr>
                <w:b/>
                <w:sz w:val="8"/>
              </w:rPr>
            </w:pPr>
          </w:p>
          <w:p>
            <w:pPr>
              <w:pStyle w:val="TableParagraph"/>
              <w:spacing w:line="150" w:lineRule="exact"/>
              <w:ind w:left="289"/>
              <w:rPr>
                <w:sz w:val="15"/>
              </w:rPr>
            </w:pPr>
            <w:r>
              <w:rPr>
                <w:position w:val="-2"/>
                <w:sz w:val="15"/>
              </w:rPr>
              <w:drawing>
                <wp:inline distT="0" distB="0" distL="0" distR="0">
                  <wp:extent cx="619125" cy="95250"/>
                  <wp:effectExtent l="0" t="0" r="0" b="0"/>
                  <wp:docPr id="11" name="Image 11" descr="A white background with black text  Description automatically generated"/>
                  <wp:cNvGraphicFramePr>
                    <a:graphicFrameLocks/>
                  </wp:cNvGraphicFramePr>
                  <a:graphic>
                    <a:graphicData uri="http://schemas.openxmlformats.org/drawingml/2006/picture">
                      <pic:pic>
                        <pic:nvPicPr>
                          <pic:cNvPr id="11" name="Image 11" descr="A white background with black text  Description automatically generated"/>
                          <pic:cNvPicPr/>
                        </pic:nvPicPr>
                        <pic:blipFill>
                          <a:blip r:embed="rId15" cstate="print"/>
                          <a:stretch>
                            <a:fillRect/>
                          </a:stretch>
                        </pic:blipFill>
                        <pic:spPr>
                          <a:xfrm>
                            <a:off x="0" y="0"/>
                            <a:ext cx="619125" cy="95250"/>
                          </a:xfrm>
                          <a:prstGeom prst="rect">
                            <a:avLst/>
                          </a:prstGeom>
                        </pic:spPr>
                      </pic:pic>
                    </a:graphicData>
                  </a:graphic>
                </wp:inline>
              </w:drawing>
            </w:r>
            <w:r>
              <w:rPr>
                <w:position w:val="-2"/>
                <w:sz w:val="15"/>
              </w:rPr>
            </w:r>
          </w:p>
        </w:tc>
      </w:tr>
      <w:tr>
        <w:trPr>
          <w:trHeight w:val="347"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5" w:lineRule="exact" w:before="13"/>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7"/>
              <w:rPr>
                <w:b/>
                <w:sz w:val="7"/>
              </w:rPr>
            </w:pPr>
          </w:p>
          <w:p>
            <w:pPr>
              <w:pStyle w:val="TableParagraph"/>
              <w:spacing w:line="195" w:lineRule="exact"/>
              <w:ind w:left="289"/>
              <w:rPr>
                <w:sz w:val="19"/>
              </w:rPr>
            </w:pPr>
            <w:r>
              <w:rPr>
                <w:position w:val="-3"/>
                <w:sz w:val="19"/>
              </w:rPr>
              <w:drawing>
                <wp:inline distT="0" distB="0" distL="0" distR="0">
                  <wp:extent cx="2952750" cy="123825"/>
                  <wp:effectExtent l="0" t="0" r="0" b="0"/>
                  <wp:docPr id="12" name="Image 12" descr="A white background with black text  Description automatically generated"/>
                  <wp:cNvGraphicFramePr>
                    <a:graphicFrameLocks/>
                  </wp:cNvGraphicFramePr>
                  <a:graphic>
                    <a:graphicData uri="http://schemas.openxmlformats.org/drawingml/2006/picture">
                      <pic:pic>
                        <pic:nvPicPr>
                          <pic:cNvPr id="12" name="Image 12" descr="A white background with black text  Description automatically generated"/>
                          <pic:cNvPicPr/>
                        </pic:nvPicPr>
                        <pic:blipFill>
                          <a:blip r:embed="rId16" cstate="print"/>
                          <a:stretch>
                            <a:fillRect/>
                          </a:stretch>
                        </pic:blipFill>
                        <pic:spPr>
                          <a:xfrm>
                            <a:off x="0" y="0"/>
                            <a:ext cx="2952750" cy="123825"/>
                          </a:xfrm>
                          <a:prstGeom prst="rect">
                            <a:avLst/>
                          </a:prstGeom>
                        </pic:spPr>
                      </pic:pic>
                    </a:graphicData>
                  </a:graphic>
                </wp:inline>
              </w:drawing>
            </w:r>
            <w:r>
              <w:rPr>
                <w:position w:val="-3"/>
                <w:sz w:val="19"/>
              </w:rPr>
            </w:r>
          </w:p>
        </w:tc>
      </w:tr>
      <w:tr>
        <w:trPr>
          <w:trHeight w:val="347"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2" w:lineRule="exact" w:before="15"/>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8"/>
              <w:rPr>
                <w:b/>
                <w:sz w:val="8"/>
              </w:rPr>
            </w:pPr>
          </w:p>
          <w:p>
            <w:pPr>
              <w:pStyle w:val="TableParagraph"/>
              <w:spacing w:line="150" w:lineRule="exact"/>
              <w:ind w:left="289"/>
              <w:rPr>
                <w:sz w:val="15"/>
              </w:rPr>
            </w:pPr>
            <w:r>
              <w:rPr>
                <w:position w:val="-2"/>
                <w:sz w:val="15"/>
              </w:rPr>
              <w:drawing>
                <wp:inline distT="0" distB="0" distL="0" distR="0">
                  <wp:extent cx="2257425" cy="95250"/>
                  <wp:effectExtent l="0" t="0" r="0" b="0"/>
                  <wp:docPr id="13" name="Image 13" descr="A white background with black text  Description automatically generated"/>
                  <wp:cNvGraphicFramePr>
                    <a:graphicFrameLocks/>
                  </wp:cNvGraphicFramePr>
                  <a:graphic>
                    <a:graphicData uri="http://schemas.openxmlformats.org/drawingml/2006/picture">
                      <pic:pic>
                        <pic:nvPicPr>
                          <pic:cNvPr id="13" name="Image 13" descr="A white background with black text  Description automatically generated"/>
                          <pic:cNvPicPr/>
                        </pic:nvPicPr>
                        <pic:blipFill>
                          <a:blip r:embed="rId17" cstate="print"/>
                          <a:stretch>
                            <a:fillRect/>
                          </a:stretch>
                        </pic:blipFill>
                        <pic:spPr>
                          <a:xfrm>
                            <a:off x="0" y="0"/>
                            <a:ext cx="2257425" cy="95250"/>
                          </a:xfrm>
                          <a:prstGeom prst="rect">
                            <a:avLst/>
                          </a:prstGeom>
                        </pic:spPr>
                      </pic:pic>
                    </a:graphicData>
                  </a:graphic>
                </wp:inline>
              </w:drawing>
            </w:r>
            <w:r>
              <w:rPr>
                <w:position w:val="-2"/>
                <w:sz w:val="15"/>
              </w:rPr>
            </w:r>
          </w:p>
        </w:tc>
      </w:tr>
      <w:tr>
        <w:trPr>
          <w:trHeight w:val="345"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2" w:lineRule="exact" w:before="13"/>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8"/>
              <w:rPr>
                <w:b/>
                <w:sz w:val="8"/>
              </w:rPr>
            </w:pPr>
          </w:p>
          <w:p>
            <w:pPr>
              <w:pStyle w:val="TableParagraph"/>
              <w:spacing w:line="195" w:lineRule="exact"/>
              <w:ind w:left="289"/>
              <w:rPr>
                <w:sz w:val="19"/>
              </w:rPr>
            </w:pPr>
            <w:r>
              <w:rPr>
                <w:position w:val="-3"/>
                <w:sz w:val="19"/>
              </w:rPr>
              <w:drawing>
                <wp:inline distT="0" distB="0" distL="0" distR="0">
                  <wp:extent cx="1466850" cy="123825"/>
                  <wp:effectExtent l="0" t="0" r="0" b="0"/>
                  <wp:docPr id="14" name="Image 14" descr="A white background with black text  Description automatically generated"/>
                  <wp:cNvGraphicFramePr>
                    <a:graphicFrameLocks/>
                  </wp:cNvGraphicFramePr>
                  <a:graphic>
                    <a:graphicData uri="http://schemas.openxmlformats.org/drawingml/2006/picture">
                      <pic:pic>
                        <pic:nvPicPr>
                          <pic:cNvPr id="14" name="Image 14" descr="A white background with black text  Description automatically generated"/>
                          <pic:cNvPicPr/>
                        </pic:nvPicPr>
                        <pic:blipFill>
                          <a:blip r:embed="rId18" cstate="print"/>
                          <a:stretch>
                            <a:fillRect/>
                          </a:stretch>
                        </pic:blipFill>
                        <pic:spPr>
                          <a:xfrm>
                            <a:off x="0" y="0"/>
                            <a:ext cx="1466850" cy="123825"/>
                          </a:xfrm>
                          <a:prstGeom prst="rect">
                            <a:avLst/>
                          </a:prstGeom>
                        </pic:spPr>
                      </pic:pic>
                    </a:graphicData>
                  </a:graphic>
                </wp:inline>
              </w:drawing>
            </w:r>
            <w:r>
              <w:rPr>
                <w:position w:val="-3"/>
                <w:sz w:val="19"/>
              </w:rPr>
            </w:r>
          </w:p>
        </w:tc>
      </w:tr>
      <w:tr>
        <w:trPr>
          <w:trHeight w:val="347"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15" w:lineRule="exact" w:before="13"/>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9"/>
              <w:rPr>
                <w:b/>
                <w:sz w:val="8"/>
              </w:rPr>
            </w:pPr>
          </w:p>
          <w:p>
            <w:pPr>
              <w:pStyle w:val="TableParagraph"/>
              <w:spacing w:line="195" w:lineRule="exact"/>
              <w:ind w:left="289"/>
              <w:rPr>
                <w:sz w:val="19"/>
              </w:rPr>
            </w:pPr>
            <w:r>
              <w:rPr>
                <w:position w:val="-3"/>
                <w:sz w:val="19"/>
              </w:rPr>
              <w:drawing>
                <wp:inline distT="0" distB="0" distL="0" distR="0">
                  <wp:extent cx="1762125" cy="123825"/>
                  <wp:effectExtent l="0" t="0" r="0" b="0"/>
                  <wp:docPr id="15" name="Image 15" descr="A white background with black text  Description automatically generated"/>
                  <wp:cNvGraphicFramePr>
                    <a:graphicFrameLocks/>
                  </wp:cNvGraphicFramePr>
                  <a:graphic>
                    <a:graphicData uri="http://schemas.openxmlformats.org/drawingml/2006/picture">
                      <pic:pic>
                        <pic:nvPicPr>
                          <pic:cNvPr id="15" name="Image 15" descr="A white background with black text  Description automatically generated"/>
                          <pic:cNvPicPr/>
                        </pic:nvPicPr>
                        <pic:blipFill>
                          <a:blip r:embed="rId19" cstate="print"/>
                          <a:stretch>
                            <a:fillRect/>
                          </a:stretch>
                        </pic:blipFill>
                        <pic:spPr>
                          <a:xfrm>
                            <a:off x="0" y="0"/>
                            <a:ext cx="1762125" cy="123825"/>
                          </a:xfrm>
                          <a:prstGeom prst="rect">
                            <a:avLst/>
                          </a:prstGeom>
                        </pic:spPr>
                      </pic:pic>
                    </a:graphicData>
                  </a:graphic>
                </wp:inline>
              </w:drawing>
            </w:r>
            <w:r>
              <w:rPr>
                <w:position w:val="-3"/>
                <w:sz w:val="19"/>
              </w:rPr>
            </w:r>
          </w:p>
        </w:tc>
      </w:tr>
      <w:tr>
        <w:trPr>
          <w:trHeight w:val="342" w:hRule="atLeast"/>
        </w:trPr>
        <w:tc>
          <w:tcPr>
            <w:tcW w:w="2123" w:type="dxa"/>
            <w:vMerge/>
            <w:tcBorders>
              <w:top w:val="nil"/>
            </w:tcBorders>
          </w:tcPr>
          <w:p>
            <w:pPr>
              <w:rPr>
                <w:sz w:val="2"/>
                <w:szCs w:val="2"/>
              </w:rPr>
            </w:pPr>
          </w:p>
        </w:tc>
        <w:tc>
          <w:tcPr>
            <w:tcW w:w="632" w:type="dxa"/>
            <w:tcBorders>
              <w:top w:val="nil"/>
              <w:bottom w:val="nil"/>
              <w:right w:val="nil"/>
            </w:tcBorders>
          </w:tcPr>
          <w:p>
            <w:pPr>
              <w:pStyle w:val="TableParagraph"/>
              <w:spacing w:line="307" w:lineRule="exact" w:before="15"/>
              <w:ind w:left="114"/>
              <w:rPr>
                <w:rFonts w:ascii="Segoe UI Symbol" w:hAnsi="Segoe UI Symbol"/>
                <w:sz w:val="24"/>
              </w:rPr>
            </w:pPr>
            <w:r>
              <w:rPr>
                <w:rFonts w:ascii="Segoe UI Symbol" w:hAnsi="Segoe UI Symbol"/>
                <w:spacing w:val="-10"/>
                <w:sz w:val="24"/>
              </w:rPr>
              <w:t>☐</w:t>
            </w:r>
          </w:p>
        </w:tc>
        <w:tc>
          <w:tcPr>
            <w:tcW w:w="5977" w:type="dxa"/>
            <w:tcBorders>
              <w:top w:val="nil"/>
              <w:left w:val="nil"/>
              <w:bottom w:val="nil"/>
            </w:tcBorders>
          </w:tcPr>
          <w:p>
            <w:pPr>
              <w:pStyle w:val="TableParagraph"/>
              <w:spacing w:before="8"/>
              <w:rPr>
                <w:b/>
                <w:sz w:val="8"/>
              </w:rPr>
            </w:pPr>
          </w:p>
          <w:p>
            <w:pPr>
              <w:pStyle w:val="TableParagraph"/>
              <w:spacing w:line="195" w:lineRule="exact"/>
              <w:ind w:left="289"/>
              <w:rPr>
                <w:sz w:val="19"/>
              </w:rPr>
            </w:pPr>
            <w:r>
              <w:rPr>
                <w:position w:val="-3"/>
                <w:sz w:val="19"/>
              </w:rPr>
              <w:drawing>
                <wp:inline distT="0" distB="0" distL="0" distR="0">
                  <wp:extent cx="1514475" cy="123825"/>
                  <wp:effectExtent l="0" t="0" r="0" b="0"/>
                  <wp:docPr id="16" name="Image 16" descr="A white background with black text  Description automatically generated"/>
                  <wp:cNvGraphicFramePr>
                    <a:graphicFrameLocks/>
                  </wp:cNvGraphicFramePr>
                  <a:graphic>
                    <a:graphicData uri="http://schemas.openxmlformats.org/drawingml/2006/picture">
                      <pic:pic>
                        <pic:nvPicPr>
                          <pic:cNvPr id="16" name="Image 16" descr="A white background with black text  Description automatically generated"/>
                          <pic:cNvPicPr/>
                        </pic:nvPicPr>
                        <pic:blipFill>
                          <a:blip r:embed="rId20" cstate="print"/>
                          <a:stretch>
                            <a:fillRect/>
                          </a:stretch>
                        </pic:blipFill>
                        <pic:spPr>
                          <a:xfrm>
                            <a:off x="0" y="0"/>
                            <a:ext cx="1514475" cy="123825"/>
                          </a:xfrm>
                          <a:prstGeom prst="rect">
                            <a:avLst/>
                          </a:prstGeom>
                        </pic:spPr>
                      </pic:pic>
                    </a:graphicData>
                  </a:graphic>
                </wp:inline>
              </w:drawing>
            </w:r>
            <w:r>
              <w:rPr>
                <w:position w:val="-3"/>
                <w:sz w:val="19"/>
              </w:rPr>
            </w:r>
          </w:p>
        </w:tc>
      </w:tr>
      <w:tr>
        <w:trPr>
          <w:trHeight w:val="348" w:hRule="atLeast"/>
        </w:trPr>
        <w:tc>
          <w:tcPr>
            <w:tcW w:w="2123" w:type="dxa"/>
            <w:vMerge/>
            <w:tcBorders>
              <w:top w:val="nil"/>
            </w:tcBorders>
          </w:tcPr>
          <w:p>
            <w:pPr>
              <w:rPr>
                <w:sz w:val="2"/>
                <w:szCs w:val="2"/>
              </w:rPr>
            </w:pPr>
          </w:p>
        </w:tc>
        <w:tc>
          <w:tcPr>
            <w:tcW w:w="632" w:type="dxa"/>
            <w:tcBorders>
              <w:top w:val="nil"/>
              <w:right w:val="nil"/>
            </w:tcBorders>
          </w:tcPr>
          <w:p>
            <w:pPr>
              <w:pStyle w:val="TableParagraph"/>
              <w:spacing w:before="8"/>
              <w:ind w:left="114"/>
              <w:rPr>
                <w:rFonts w:ascii="Segoe UI Symbol" w:hAnsi="Segoe UI Symbol"/>
                <w:sz w:val="24"/>
              </w:rPr>
            </w:pPr>
            <w:r>
              <w:rPr>
                <w:rFonts w:ascii="Segoe UI Symbol" w:hAnsi="Segoe UI Symbol"/>
                <w:spacing w:val="-10"/>
                <w:sz w:val="24"/>
              </w:rPr>
              <w:t>☐</w:t>
            </w:r>
          </w:p>
        </w:tc>
        <w:tc>
          <w:tcPr>
            <w:tcW w:w="5977" w:type="dxa"/>
            <w:tcBorders>
              <w:top w:val="nil"/>
              <w:left w:val="nil"/>
            </w:tcBorders>
          </w:tcPr>
          <w:p>
            <w:pPr>
              <w:pStyle w:val="TableParagraph"/>
              <w:spacing w:before="8"/>
              <w:rPr>
                <w:b/>
                <w:sz w:val="7"/>
              </w:rPr>
            </w:pPr>
          </w:p>
          <w:p>
            <w:pPr>
              <w:pStyle w:val="TableParagraph"/>
              <w:spacing w:line="195" w:lineRule="exact"/>
              <w:ind w:left="289"/>
              <w:rPr>
                <w:sz w:val="19"/>
              </w:rPr>
            </w:pPr>
            <w:r>
              <w:rPr>
                <w:position w:val="-3"/>
                <w:sz w:val="19"/>
              </w:rPr>
              <w:drawing>
                <wp:inline distT="0" distB="0" distL="0" distR="0">
                  <wp:extent cx="2514600" cy="123825"/>
                  <wp:effectExtent l="0" t="0" r="0" b="0"/>
                  <wp:docPr id="17" name="Image 17" descr="A white background with black text  Description automatically generated"/>
                  <wp:cNvGraphicFramePr>
                    <a:graphicFrameLocks/>
                  </wp:cNvGraphicFramePr>
                  <a:graphic>
                    <a:graphicData uri="http://schemas.openxmlformats.org/drawingml/2006/picture">
                      <pic:pic>
                        <pic:nvPicPr>
                          <pic:cNvPr id="17" name="Image 17" descr="A white background with black text  Description automatically generated"/>
                          <pic:cNvPicPr/>
                        </pic:nvPicPr>
                        <pic:blipFill>
                          <a:blip r:embed="rId21" cstate="print"/>
                          <a:stretch>
                            <a:fillRect/>
                          </a:stretch>
                        </pic:blipFill>
                        <pic:spPr>
                          <a:xfrm>
                            <a:off x="0" y="0"/>
                            <a:ext cx="2514600" cy="123825"/>
                          </a:xfrm>
                          <a:prstGeom prst="rect">
                            <a:avLst/>
                          </a:prstGeom>
                        </pic:spPr>
                      </pic:pic>
                    </a:graphicData>
                  </a:graphic>
                </wp:inline>
              </w:drawing>
            </w:r>
            <w:r>
              <w:rPr>
                <w:position w:val="-3"/>
                <w:sz w:val="19"/>
              </w:rPr>
            </w:r>
          </w:p>
        </w:tc>
      </w:tr>
      <w:tr>
        <w:trPr>
          <w:trHeight w:val="585" w:hRule="atLeast"/>
        </w:trPr>
        <w:tc>
          <w:tcPr>
            <w:tcW w:w="2123" w:type="dxa"/>
          </w:tcPr>
          <w:p>
            <w:pPr>
              <w:pStyle w:val="TableParagraph"/>
              <w:spacing w:before="7"/>
              <w:rPr>
                <w:b/>
                <w:sz w:val="14"/>
              </w:rPr>
            </w:pPr>
          </w:p>
          <w:p>
            <w:pPr>
              <w:pStyle w:val="TableParagraph"/>
              <w:spacing w:line="210" w:lineRule="exact"/>
              <w:ind w:left="231"/>
              <w:rPr>
                <w:sz w:val="20"/>
              </w:rPr>
            </w:pPr>
            <w:r>
              <w:rPr>
                <w:position w:val="-3"/>
                <w:sz w:val="20"/>
              </w:rPr>
              <w:drawing>
                <wp:inline distT="0" distB="0" distL="0" distR="0">
                  <wp:extent cx="809625" cy="133350"/>
                  <wp:effectExtent l="0" t="0" r="0" b="0"/>
                  <wp:docPr id="18" name="Image 18"/>
                  <wp:cNvGraphicFramePr>
                    <a:graphicFrameLocks/>
                  </wp:cNvGraphicFramePr>
                  <a:graphic>
                    <a:graphicData uri="http://schemas.openxmlformats.org/drawingml/2006/picture">
                      <pic:pic>
                        <pic:nvPicPr>
                          <pic:cNvPr id="18" name="Image 18"/>
                          <pic:cNvPicPr/>
                        </pic:nvPicPr>
                        <pic:blipFill>
                          <a:blip r:embed="rId22" cstate="print"/>
                          <a:stretch>
                            <a:fillRect/>
                          </a:stretch>
                        </pic:blipFill>
                        <pic:spPr>
                          <a:xfrm>
                            <a:off x="0" y="0"/>
                            <a:ext cx="809625" cy="133350"/>
                          </a:xfrm>
                          <a:prstGeom prst="rect">
                            <a:avLst/>
                          </a:prstGeom>
                        </pic:spPr>
                      </pic:pic>
                    </a:graphicData>
                  </a:graphic>
                </wp:inline>
              </w:drawing>
            </w:r>
            <w:r>
              <w:rPr>
                <w:position w:val="-3"/>
                <w:sz w:val="20"/>
              </w:rPr>
            </w:r>
          </w:p>
        </w:tc>
        <w:tc>
          <w:tcPr>
            <w:tcW w:w="6609" w:type="dxa"/>
            <w:gridSpan w:val="2"/>
          </w:tcPr>
          <w:p>
            <w:pPr>
              <w:pStyle w:val="TableParagraph"/>
              <w:spacing w:before="158"/>
              <w:ind w:left="114"/>
              <w:rPr>
                <w:sz w:val="24"/>
              </w:rPr>
            </w:pPr>
            <w:r>
              <w:rPr>
                <w:sz w:val="24"/>
              </w:rPr>
              <w:t>Monday,</w:t>
            </w:r>
            <w:r>
              <w:rPr>
                <w:spacing w:val="-17"/>
                <w:sz w:val="24"/>
              </w:rPr>
              <w:t> </w:t>
            </w:r>
            <w:r>
              <w:rPr>
                <w:sz w:val="24"/>
              </w:rPr>
              <w:t>10</w:t>
            </w:r>
            <w:r>
              <w:rPr>
                <w:spacing w:val="-9"/>
                <w:sz w:val="24"/>
              </w:rPr>
              <w:t> </w:t>
            </w:r>
            <w:r>
              <w:rPr>
                <w:sz w:val="24"/>
              </w:rPr>
              <w:t>March</w:t>
            </w:r>
            <w:r>
              <w:rPr>
                <w:spacing w:val="-13"/>
                <w:sz w:val="24"/>
              </w:rPr>
              <w:t> </w:t>
            </w:r>
            <w:r>
              <w:rPr>
                <w:sz w:val="24"/>
              </w:rPr>
              <w:t>2025</w:t>
            </w:r>
            <w:r>
              <w:rPr>
                <w:spacing w:val="-14"/>
                <w:sz w:val="24"/>
              </w:rPr>
              <w:t> </w:t>
            </w:r>
            <w:r>
              <w:rPr>
                <w:sz w:val="24"/>
              </w:rPr>
              <w:t>at</w:t>
            </w:r>
            <w:r>
              <w:rPr>
                <w:spacing w:val="-10"/>
                <w:sz w:val="24"/>
              </w:rPr>
              <w:t> </w:t>
            </w:r>
            <w:r>
              <w:rPr>
                <w:sz w:val="24"/>
              </w:rPr>
              <w:t>12:00pm</w:t>
            </w:r>
            <w:r>
              <w:rPr>
                <w:spacing w:val="-31"/>
                <w:sz w:val="24"/>
              </w:rPr>
              <w:t> </w:t>
            </w:r>
            <w:r>
              <w:rPr>
                <w:spacing w:val="-4"/>
                <w:sz w:val="24"/>
              </w:rPr>
              <w:t>AEST</w:t>
            </w:r>
          </w:p>
        </w:tc>
      </w:tr>
    </w:tbl>
    <w:p>
      <w:pPr>
        <w:pStyle w:val="BodyText"/>
        <w:spacing w:before="48"/>
        <w:rPr>
          <w:b/>
        </w:rPr>
      </w:pPr>
      <w:r>
        <w:rPr/>
        <w:drawing>
          <wp:anchor distT="0" distB="0" distL="0" distR="0" allowOverlap="1" layoutInCell="1" locked="0" behindDoc="1" simplePos="0" relativeHeight="487588864">
            <wp:simplePos x="0" y="0"/>
            <wp:positionH relativeFrom="page">
              <wp:posOffset>923289</wp:posOffset>
            </wp:positionH>
            <wp:positionV relativeFrom="paragraph">
              <wp:posOffset>191921</wp:posOffset>
            </wp:positionV>
            <wp:extent cx="5501140" cy="2366867"/>
            <wp:effectExtent l="0" t="0" r="0" b="0"/>
            <wp:wrapTopAndBottom/>
            <wp:docPr id="19" name="Image 19" descr="A blue text on a white background  Description automatically generated"/>
            <wp:cNvGraphicFramePr>
              <a:graphicFrameLocks/>
            </wp:cNvGraphicFramePr>
            <a:graphic>
              <a:graphicData uri="http://schemas.openxmlformats.org/drawingml/2006/picture">
                <pic:pic>
                  <pic:nvPicPr>
                    <pic:cNvPr id="19" name="Image 19" descr="A blue text on a white background  Description automatically generated"/>
                    <pic:cNvPicPr/>
                  </pic:nvPicPr>
                  <pic:blipFill>
                    <a:blip r:embed="rId23" cstate="print"/>
                    <a:stretch>
                      <a:fillRect/>
                    </a:stretch>
                  </pic:blipFill>
                  <pic:spPr>
                    <a:xfrm>
                      <a:off x="0" y="0"/>
                      <a:ext cx="5501140" cy="2366867"/>
                    </a:xfrm>
                    <a:prstGeom prst="rect">
                      <a:avLst/>
                    </a:prstGeom>
                  </pic:spPr>
                </pic:pic>
              </a:graphicData>
            </a:graphic>
          </wp:anchor>
        </w:drawing>
      </w:r>
    </w:p>
    <w:p>
      <w:pPr>
        <w:pStyle w:val="BodyText"/>
        <w:rPr>
          <w:b/>
        </w:rPr>
      </w:pPr>
    </w:p>
    <w:p>
      <w:pPr>
        <w:pStyle w:val="BodyText"/>
        <w:rPr>
          <w:b/>
        </w:rPr>
      </w:pPr>
    </w:p>
    <w:p>
      <w:pPr>
        <w:pStyle w:val="BodyText"/>
        <w:rPr>
          <w:b/>
        </w:rPr>
      </w:pPr>
    </w:p>
    <w:p>
      <w:pPr>
        <w:pStyle w:val="BodyText"/>
        <w:spacing w:before="15"/>
        <w:rPr>
          <w:b/>
        </w:rPr>
      </w:pPr>
      <w:r>
        <w:rPr/>
        <w:drawing>
          <wp:anchor distT="0" distB="0" distL="0" distR="0" allowOverlap="1" layoutInCell="1" locked="0" behindDoc="1" simplePos="0" relativeHeight="487589376">
            <wp:simplePos x="0" y="0"/>
            <wp:positionH relativeFrom="page">
              <wp:posOffset>932814</wp:posOffset>
            </wp:positionH>
            <wp:positionV relativeFrom="paragraph">
              <wp:posOffset>170802</wp:posOffset>
            </wp:positionV>
            <wp:extent cx="5431257" cy="364045"/>
            <wp:effectExtent l="0" t="0" r="0" b="0"/>
            <wp:wrapTopAndBottom/>
            <wp:docPr id="20" name="Image 20"/>
            <wp:cNvGraphicFramePr>
              <a:graphicFrameLocks/>
            </wp:cNvGraphicFramePr>
            <a:graphic>
              <a:graphicData uri="http://schemas.openxmlformats.org/drawingml/2006/picture">
                <pic:pic>
                  <pic:nvPicPr>
                    <pic:cNvPr id="20" name="Image 20"/>
                    <pic:cNvPicPr/>
                  </pic:nvPicPr>
                  <pic:blipFill>
                    <a:blip r:embed="rId24" cstate="print"/>
                    <a:stretch>
                      <a:fillRect/>
                    </a:stretch>
                  </pic:blipFill>
                  <pic:spPr>
                    <a:xfrm>
                      <a:off x="0" y="0"/>
                      <a:ext cx="5431257" cy="364045"/>
                    </a:xfrm>
                    <a:prstGeom prst="rect">
                      <a:avLst/>
                    </a:prstGeom>
                  </pic:spPr>
                </pic:pic>
              </a:graphicData>
            </a:graphic>
          </wp:anchor>
        </w:drawing>
      </w:r>
    </w:p>
    <w:p>
      <w:pPr>
        <w:spacing w:after="0"/>
        <w:sectPr>
          <w:type w:val="continuous"/>
          <w:pgSz w:w="11910" w:h="16840"/>
          <w:pgMar w:top="860" w:bottom="280" w:left="240" w:right="1240"/>
        </w:sectPr>
      </w:pPr>
    </w:p>
    <w:p>
      <w:pPr>
        <w:pStyle w:val="BodyText"/>
        <w:rPr>
          <w:b/>
          <w:sz w:val="32"/>
        </w:rPr>
      </w:pPr>
    </w:p>
    <w:p>
      <w:pPr>
        <w:pStyle w:val="BodyText"/>
        <w:spacing w:before="289"/>
        <w:rPr>
          <w:b/>
          <w:sz w:val="32"/>
        </w:rPr>
      </w:pPr>
    </w:p>
    <w:p>
      <w:pPr>
        <w:pStyle w:val="Heading1"/>
        <w:spacing w:before="1"/>
      </w:pPr>
      <w:r>
        <w:rPr/>
        <w:drawing>
          <wp:anchor distT="0" distB="0" distL="0" distR="0" allowOverlap="1" layoutInCell="1" locked="0" behindDoc="1" simplePos="0" relativeHeight="487143936">
            <wp:simplePos x="0" y="0"/>
            <wp:positionH relativeFrom="page">
              <wp:posOffset>227965</wp:posOffset>
            </wp:positionH>
            <wp:positionV relativeFrom="paragraph">
              <wp:posOffset>-656804</wp:posOffset>
            </wp:positionV>
            <wp:extent cx="1471930" cy="1023620"/>
            <wp:effectExtent l="0" t="0" r="0" b="0"/>
            <wp:wrapNone/>
            <wp:docPr id="22" name="Image 22"/>
            <wp:cNvGraphicFramePr>
              <a:graphicFrameLocks/>
            </wp:cNvGraphicFramePr>
            <a:graphic>
              <a:graphicData uri="http://schemas.openxmlformats.org/drawingml/2006/picture">
                <pic:pic>
                  <pic:nvPicPr>
                    <pic:cNvPr id="22" name="Image 22"/>
                    <pic:cNvPicPr/>
                  </pic:nvPicPr>
                  <pic:blipFill>
                    <a:blip r:embed="rId26" cstate="print"/>
                    <a:stretch>
                      <a:fillRect/>
                    </a:stretch>
                  </pic:blipFill>
                  <pic:spPr>
                    <a:xfrm>
                      <a:off x="0" y="0"/>
                      <a:ext cx="1471930" cy="1023620"/>
                    </a:xfrm>
                    <a:prstGeom prst="rect">
                      <a:avLst/>
                    </a:prstGeom>
                  </pic:spPr>
                </pic:pic>
              </a:graphicData>
            </a:graphic>
          </wp:anchor>
        </w:drawing>
      </w:r>
      <w:bookmarkStart w:name="Introduction" w:id="1"/>
      <w:bookmarkEnd w:id="1"/>
      <w:r>
        <w:rPr>
          <w:b w:val="0"/>
        </w:rPr>
      </w:r>
      <w:r>
        <w:rPr>
          <w:color w:val="0D465F"/>
          <w:spacing w:val="-2"/>
        </w:rPr>
        <w:t>Introduction</w:t>
      </w:r>
    </w:p>
    <w:p>
      <w:pPr>
        <w:pStyle w:val="BodyText"/>
        <w:spacing w:line="280" w:lineRule="auto" w:before="229"/>
        <w:ind w:left="1200" w:right="269"/>
      </w:pPr>
      <w:r>
        <w:rPr/>
        <w:t>AAG</w:t>
      </w:r>
      <w:r>
        <w:rPr>
          <w:spacing w:val="-7"/>
        </w:rPr>
        <w:t> </w:t>
      </w:r>
      <w:r>
        <w:rPr/>
        <w:t>is</w:t>
      </w:r>
      <w:r>
        <w:rPr>
          <w:spacing w:val="-9"/>
        </w:rPr>
        <w:t> </w:t>
      </w:r>
      <w:r>
        <w:rPr/>
        <w:t>a</w:t>
      </w:r>
      <w:r>
        <w:rPr>
          <w:spacing w:val="-1"/>
        </w:rPr>
        <w:t> </w:t>
      </w:r>
      <w:r>
        <w:rPr/>
        <w:t>non-profit</w:t>
      </w:r>
      <w:r>
        <w:rPr>
          <w:spacing w:val="-12"/>
        </w:rPr>
        <w:t> </w:t>
      </w:r>
      <w:r>
        <w:rPr/>
        <w:t>Australian</w:t>
      </w:r>
      <w:r>
        <w:rPr>
          <w:spacing w:val="-1"/>
        </w:rPr>
        <w:t> </w:t>
      </w:r>
      <w:r>
        <w:rPr/>
        <w:t>organisation</w:t>
      </w:r>
      <w:r>
        <w:rPr>
          <w:spacing w:val="-10"/>
        </w:rPr>
        <w:t> </w:t>
      </w:r>
      <w:r>
        <w:rPr/>
        <w:t>that</w:t>
      </w:r>
      <w:r>
        <w:rPr>
          <w:spacing w:val="-3"/>
        </w:rPr>
        <w:t> </w:t>
      </w:r>
      <w:r>
        <w:rPr/>
        <w:t>delivers</w:t>
      </w:r>
      <w:r>
        <w:rPr>
          <w:spacing w:val="-8"/>
        </w:rPr>
        <w:t> </w:t>
      </w:r>
      <w:r>
        <w:rPr/>
        <w:t>essential aged care</w:t>
      </w:r>
      <w:r>
        <w:rPr>
          <w:spacing w:val="-11"/>
        </w:rPr>
        <w:t> </w:t>
      </w:r>
      <w:r>
        <w:rPr/>
        <w:t>services</w:t>
      </w:r>
      <w:r>
        <w:rPr>
          <w:spacing w:val="-8"/>
        </w:rPr>
        <w:t> </w:t>
      </w:r>
      <w:r>
        <w:rPr/>
        <w:t>to</w:t>
      </w:r>
      <w:r>
        <w:rPr>
          <w:spacing w:val="-11"/>
        </w:rPr>
        <w:t> </w:t>
      </w:r>
      <w:r>
        <w:rPr/>
        <w:t>its</w:t>
      </w:r>
      <w:r>
        <w:rPr>
          <w:spacing w:val="-9"/>
        </w:rPr>
        <w:t> </w:t>
      </w:r>
      <w:r>
        <w:rPr/>
        <w:t>clients.</w:t>
      </w:r>
      <w:r>
        <w:rPr>
          <w:spacing w:val="-2"/>
        </w:rPr>
        <w:t> </w:t>
      </w:r>
      <w:r>
        <w:rPr/>
        <w:t>It provides a comprehensive range of personal and nursing care services and guarantees these services for the entirety of each customer's life.</w:t>
      </w:r>
    </w:p>
    <w:p>
      <w:pPr>
        <w:pStyle w:val="BodyText"/>
        <w:spacing w:line="280" w:lineRule="auto" w:before="153"/>
        <w:ind w:left="1200" w:right="509"/>
      </w:pPr>
      <w:r>
        <w:rPr/>
        <w:t>The report provides the Board with an evaluation of AAG's long-term financial position, assessing whether</w:t>
      </w:r>
      <w:r>
        <w:rPr>
          <w:spacing w:val="-9"/>
        </w:rPr>
        <w:t> </w:t>
      </w:r>
      <w:r>
        <w:rPr/>
        <w:t>AAG's</w:t>
      </w:r>
      <w:r>
        <w:rPr>
          <w:spacing w:val="-9"/>
        </w:rPr>
        <w:t> </w:t>
      </w:r>
      <w:r>
        <w:rPr/>
        <w:t>current asset portfolio</w:t>
      </w:r>
      <w:r>
        <w:rPr>
          <w:spacing w:val="-9"/>
        </w:rPr>
        <w:t> </w:t>
      </w:r>
      <w:r>
        <w:rPr/>
        <w:t>is</w:t>
      </w:r>
      <w:r>
        <w:rPr>
          <w:spacing w:val="-9"/>
        </w:rPr>
        <w:t> </w:t>
      </w:r>
      <w:r>
        <w:rPr/>
        <w:t>sufficiently</w:t>
      </w:r>
      <w:r>
        <w:rPr>
          <w:spacing w:val="-4"/>
        </w:rPr>
        <w:t> </w:t>
      </w:r>
      <w:r>
        <w:rPr/>
        <w:t>prepared to</w:t>
      </w:r>
      <w:r>
        <w:rPr>
          <w:spacing w:val="-11"/>
        </w:rPr>
        <w:t> </w:t>
      </w:r>
      <w:r>
        <w:rPr/>
        <w:t>meet</w:t>
      </w:r>
      <w:r>
        <w:rPr>
          <w:spacing w:val="-7"/>
        </w:rPr>
        <w:t> </w:t>
      </w:r>
      <w:r>
        <w:rPr/>
        <w:t>its</w:t>
      </w:r>
      <w:r>
        <w:rPr>
          <w:spacing w:val="-17"/>
        </w:rPr>
        <w:t> </w:t>
      </w:r>
      <w:r>
        <w:rPr/>
        <w:t>future</w:t>
      </w:r>
      <w:r>
        <w:rPr>
          <w:spacing w:val="-11"/>
        </w:rPr>
        <w:t> </w:t>
      </w:r>
      <w:r>
        <w:rPr/>
        <w:t>liabilities</w:t>
      </w:r>
      <w:r>
        <w:rPr>
          <w:spacing w:val="-4"/>
        </w:rPr>
        <w:t> </w:t>
      </w:r>
      <w:r>
        <w:rPr/>
        <w:t>utilising</w:t>
      </w:r>
      <w:r>
        <w:rPr>
          <w:spacing w:val="-4"/>
        </w:rPr>
        <w:t> </w:t>
      </w:r>
      <w:r>
        <w:rPr/>
        <w:t>the Asset-Liability Management (ALM) framework to support its findings and recommendations.</w:t>
      </w:r>
    </w:p>
    <w:p>
      <w:pPr>
        <w:pStyle w:val="BodyText"/>
        <w:spacing w:before="153"/>
        <w:ind w:left="1200"/>
      </w:pPr>
      <w:r>
        <w:rPr/>
        <w:t>The</w:t>
      </w:r>
      <w:r>
        <w:rPr>
          <w:spacing w:val="-3"/>
        </w:rPr>
        <w:t> </w:t>
      </w:r>
      <w:r>
        <w:rPr/>
        <w:t>report</w:t>
      </w:r>
      <w:r>
        <w:rPr>
          <w:spacing w:val="-9"/>
        </w:rPr>
        <w:t> </w:t>
      </w:r>
      <w:r>
        <w:rPr/>
        <w:t>is</w:t>
      </w:r>
      <w:r>
        <w:rPr>
          <w:spacing w:val="-10"/>
        </w:rPr>
        <w:t> </w:t>
      </w:r>
      <w:r>
        <w:rPr/>
        <w:t>as</w:t>
      </w:r>
      <w:r>
        <w:rPr>
          <w:spacing w:val="-13"/>
        </w:rPr>
        <w:t> </w:t>
      </w:r>
      <w:r>
        <w:rPr>
          <w:spacing w:val="-2"/>
        </w:rPr>
        <w:t>follows:</w:t>
      </w:r>
    </w:p>
    <w:p>
      <w:pPr>
        <w:pStyle w:val="ListParagraph"/>
        <w:numPr>
          <w:ilvl w:val="0"/>
          <w:numId w:val="1"/>
        </w:numPr>
        <w:tabs>
          <w:tab w:pos="1920" w:val="left" w:leader="none"/>
        </w:tabs>
        <w:spacing w:line="240" w:lineRule="auto" w:before="184" w:after="0"/>
        <w:ind w:left="1920" w:right="0" w:hanging="360"/>
        <w:jc w:val="left"/>
        <w:rPr>
          <w:sz w:val="20"/>
        </w:rPr>
      </w:pPr>
      <w:r>
        <w:rPr>
          <w:b/>
          <w:sz w:val="20"/>
        </w:rPr>
        <w:t>Section</w:t>
      </w:r>
      <w:r>
        <w:rPr>
          <w:b/>
          <w:spacing w:val="-14"/>
          <w:sz w:val="20"/>
        </w:rPr>
        <w:t> </w:t>
      </w:r>
      <w:r>
        <w:rPr>
          <w:b/>
          <w:sz w:val="20"/>
        </w:rPr>
        <w:t>1</w:t>
      </w:r>
      <w:r>
        <w:rPr>
          <w:b/>
          <w:spacing w:val="-14"/>
          <w:sz w:val="20"/>
        </w:rPr>
        <w:t> </w:t>
      </w:r>
      <w:r>
        <w:rPr>
          <w:sz w:val="20"/>
        </w:rPr>
        <w:t>presents</w:t>
      </w:r>
      <w:r>
        <w:rPr>
          <w:spacing w:val="-14"/>
          <w:sz w:val="20"/>
        </w:rPr>
        <w:t> </w:t>
      </w:r>
      <w:r>
        <w:rPr>
          <w:sz w:val="20"/>
        </w:rPr>
        <w:t>a</w:t>
      </w:r>
      <w:r>
        <w:rPr>
          <w:spacing w:val="-10"/>
          <w:sz w:val="20"/>
        </w:rPr>
        <w:t> </w:t>
      </w:r>
      <w:r>
        <w:rPr>
          <w:sz w:val="20"/>
        </w:rPr>
        <w:t>breakdown</w:t>
      </w:r>
      <w:r>
        <w:rPr>
          <w:spacing w:val="-10"/>
          <w:sz w:val="20"/>
        </w:rPr>
        <w:t> </w:t>
      </w:r>
      <w:r>
        <w:rPr>
          <w:sz w:val="20"/>
        </w:rPr>
        <w:t>of</w:t>
      </w:r>
      <w:r>
        <w:rPr>
          <w:spacing w:val="-13"/>
          <w:sz w:val="20"/>
        </w:rPr>
        <w:t> </w:t>
      </w:r>
      <w:r>
        <w:rPr>
          <w:sz w:val="20"/>
        </w:rPr>
        <w:t>AAG's</w:t>
      </w:r>
      <w:r>
        <w:rPr>
          <w:spacing w:val="-17"/>
          <w:sz w:val="20"/>
        </w:rPr>
        <w:t> </w:t>
      </w:r>
      <w:r>
        <w:rPr>
          <w:spacing w:val="-2"/>
          <w:sz w:val="20"/>
        </w:rPr>
        <w:t>liabilities.</w:t>
      </w:r>
    </w:p>
    <w:p>
      <w:pPr>
        <w:pStyle w:val="ListParagraph"/>
        <w:numPr>
          <w:ilvl w:val="0"/>
          <w:numId w:val="1"/>
        </w:numPr>
        <w:tabs>
          <w:tab w:pos="1920" w:val="left" w:leader="none"/>
        </w:tabs>
        <w:spacing w:line="240" w:lineRule="auto" w:before="34" w:after="0"/>
        <w:ind w:left="1920" w:right="0" w:hanging="360"/>
        <w:jc w:val="left"/>
        <w:rPr>
          <w:sz w:val="20"/>
        </w:rPr>
      </w:pPr>
      <w:r>
        <w:rPr>
          <w:b/>
          <w:sz w:val="20"/>
        </w:rPr>
        <w:t>Section</w:t>
      </w:r>
      <w:r>
        <w:rPr>
          <w:b/>
          <w:spacing w:val="-15"/>
          <w:sz w:val="20"/>
        </w:rPr>
        <w:t> </w:t>
      </w:r>
      <w:r>
        <w:rPr>
          <w:b/>
          <w:sz w:val="20"/>
        </w:rPr>
        <w:t>2</w:t>
      </w:r>
      <w:r>
        <w:rPr>
          <w:b/>
          <w:spacing w:val="-9"/>
          <w:sz w:val="20"/>
        </w:rPr>
        <w:t> </w:t>
      </w:r>
      <w:r>
        <w:rPr>
          <w:sz w:val="20"/>
        </w:rPr>
        <w:t>discusses</w:t>
      </w:r>
      <w:r>
        <w:rPr>
          <w:spacing w:val="-12"/>
          <w:sz w:val="20"/>
        </w:rPr>
        <w:t> </w:t>
      </w:r>
      <w:r>
        <w:rPr>
          <w:sz w:val="20"/>
        </w:rPr>
        <w:t>observations</w:t>
      </w:r>
      <w:r>
        <w:rPr>
          <w:spacing w:val="-12"/>
          <w:sz w:val="20"/>
        </w:rPr>
        <w:t> </w:t>
      </w:r>
      <w:r>
        <w:rPr>
          <w:sz w:val="20"/>
        </w:rPr>
        <w:t>in</w:t>
      </w:r>
      <w:r>
        <w:rPr>
          <w:spacing w:val="-12"/>
          <w:sz w:val="20"/>
        </w:rPr>
        <w:t> </w:t>
      </w:r>
      <w:r>
        <w:rPr>
          <w:sz w:val="20"/>
        </w:rPr>
        <w:t>the</w:t>
      </w:r>
      <w:r>
        <w:rPr>
          <w:spacing w:val="-10"/>
          <w:sz w:val="20"/>
        </w:rPr>
        <w:t> </w:t>
      </w:r>
      <w:r>
        <w:rPr>
          <w:sz w:val="20"/>
        </w:rPr>
        <w:t>data</w:t>
      </w:r>
      <w:r>
        <w:rPr>
          <w:spacing w:val="-15"/>
          <w:sz w:val="20"/>
        </w:rPr>
        <w:t> </w:t>
      </w:r>
      <w:r>
        <w:rPr>
          <w:sz w:val="20"/>
        </w:rPr>
        <w:t>files</w:t>
      </w:r>
      <w:r>
        <w:rPr>
          <w:spacing w:val="-11"/>
          <w:sz w:val="20"/>
        </w:rPr>
        <w:t> </w:t>
      </w:r>
      <w:r>
        <w:rPr>
          <w:sz w:val="20"/>
        </w:rPr>
        <w:t>and</w:t>
      </w:r>
      <w:r>
        <w:rPr>
          <w:spacing w:val="-9"/>
          <w:sz w:val="20"/>
        </w:rPr>
        <w:t> </w:t>
      </w:r>
      <w:r>
        <w:rPr>
          <w:sz w:val="20"/>
        </w:rPr>
        <w:t>their</w:t>
      </w:r>
      <w:r>
        <w:rPr>
          <w:spacing w:val="-12"/>
          <w:sz w:val="20"/>
        </w:rPr>
        <w:t> </w:t>
      </w:r>
      <w:r>
        <w:rPr>
          <w:sz w:val="20"/>
        </w:rPr>
        <w:t>relevance</w:t>
      </w:r>
      <w:r>
        <w:rPr>
          <w:spacing w:val="-14"/>
          <w:sz w:val="20"/>
        </w:rPr>
        <w:t> </w:t>
      </w:r>
      <w:r>
        <w:rPr>
          <w:sz w:val="20"/>
        </w:rPr>
        <w:t>to</w:t>
      </w:r>
      <w:r>
        <w:rPr>
          <w:spacing w:val="-9"/>
          <w:sz w:val="20"/>
        </w:rPr>
        <w:t> </w:t>
      </w:r>
      <w:r>
        <w:rPr>
          <w:spacing w:val="-2"/>
          <w:sz w:val="20"/>
        </w:rPr>
        <w:t>cashflows.</w:t>
      </w:r>
    </w:p>
    <w:p>
      <w:pPr>
        <w:pStyle w:val="ListParagraph"/>
        <w:numPr>
          <w:ilvl w:val="0"/>
          <w:numId w:val="1"/>
        </w:numPr>
        <w:tabs>
          <w:tab w:pos="1920" w:val="left" w:leader="none"/>
        </w:tabs>
        <w:spacing w:line="240" w:lineRule="auto" w:before="33" w:after="0"/>
        <w:ind w:left="1920" w:right="0" w:hanging="360"/>
        <w:jc w:val="left"/>
        <w:rPr>
          <w:sz w:val="20"/>
        </w:rPr>
      </w:pPr>
      <w:r>
        <w:rPr>
          <w:b/>
          <w:sz w:val="20"/>
        </w:rPr>
        <w:t>Sections</w:t>
      </w:r>
      <w:r>
        <w:rPr>
          <w:b/>
          <w:spacing w:val="-16"/>
          <w:sz w:val="20"/>
        </w:rPr>
        <w:t> </w:t>
      </w:r>
      <w:r>
        <w:rPr>
          <w:b/>
          <w:sz w:val="20"/>
        </w:rPr>
        <w:t>3</w:t>
      </w:r>
      <w:r>
        <w:rPr>
          <w:b/>
          <w:spacing w:val="-14"/>
          <w:sz w:val="20"/>
        </w:rPr>
        <w:t> </w:t>
      </w:r>
      <w:r>
        <w:rPr>
          <w:b/>
          <w:sz w:val="20"/>
        </w:rPr>
        <w:t>&amp;</w:t>
      </w:r>
      <w:r>
        <w:rPr>
          <w:b/>
          <w:spacing w:val="-14"/>
          <w:sz w:val="20"/>
        </w:rPr>
        <w:t> </w:t>
      </w:r>
      <w:r>
        <w:rPr>
          <w:b/>
          <w:sz w:val="20"/>
        </w:rPr>
        <w:t>4</w:t>
      </w:r>
      <w:r>
        <w:rPr>
          <w:b/>
          <w:spacing w:val="-14"/>
          <w:sz w:val="20"/>
        </w:rPr>
        <w:t> </w:t>
      </w:r>
      <w:r>
        <w:rPr>
          <w:sz w:val="20"/>
        </w:rPr>
        <w:t>outline</w:t>
      </w:r>
      <w:r>
        <w:rPr>
          <w:spacing w:val="-14"/>
          <w:sz w:val="20"/>
        </w:rPr>
        <w:t> </w:t>
      </w:r>
      <w:r>
        <w:rPr>
          <w:sz w:val="20"/>
        </w:rPr>
        <w:t>the</w:t>
      </w:r>
      <w:r>
        <w:rPr>
          <w:spacing w:val="-15"/>
          <w:sz w:val="20"/>
        </w:rPr>
        <w:t> </w:t>
      </w:r>
      <w:r>
        <w:rPr>
          <w:sz w:val="20"/>
        </w:rPr>
        <w:t>methodology,</w:t>
      </w:r>
      <w:r>
        <w:rPr>
          <w:spacing w:val="-14"/>
          <w:sz w:val="20"/>
        </w:rPr>
        <w:t> </w:t>
      </w:r>
      <w:r>
        <w:rPr>
          <w:sz w:val="20"/>
        </w:rPr>
        <w:t>assumptions,</w:t>
      </w:r>
      <w:r>
        <w:rPr>
          <w:spacing w:val="-14"/>
          <w:sz w:val="20"/>
        </w:rPr>
        <w:t> </w:t>
      </w:r>
      <w:r>
        <w:rPr>
          <w:sz w:val="20"/>
        </w:rPr>
        <w:t>and</w:t>
      </w:r>
      <w:r>
        <w:rPr>
          <w:spacing w:val="-11"/>
          <w:sz w:val="20"/>
        </w:rPr>
        <w:t> </w:t>
      </w:r>
      <w:r>
        <w:rPr>
          <w:sz w:val="20"/>
        </w:rPr>
        <w:t>justifications</w:t>
      </w:r>
      <w:r>
        <w:rPr>
          <w:spacing w:val="-14"/>
          <w:sz w:val="20"/>
        </w:rPr>
        <w:t> </w:t>
      </w:r>
      <w:r>
        <w:rPr>
          <w:sz w:val="20"/>
        </w:rPr>
        <w:t>used</w:t>
      </w:r>
      <w:r>
        <w:rPr>
          <w:spacing w:val="-14"/>
          <w:sz w:val="20"/>
        </w:rPr>
        <w:t> </w:t>
      </w:r>
      <w:r>
        <w:rPr>
          <w:sz w:val="20"/>
        </w:rPr>
        <w:t>for</w:t>
      </w:r>
      <w:r>
        <w:rPr>
          <w:spacing w:val="-8"/>
          <w:sz w:val="20"/>
        </w:rPr>
        <w:t> </w:t>
      </w:r>
      <w:r>
        <w:rPr>
          <w:spacing w:val="-2"/>
          <w:sz w:val="20"/>
        </w:rPr>
        <w:t>projection.</w:t>
      </w:r>
    </w:p>
    <w:p>
      <w:pPr>
        <w:pStyle w:val="ListParagraph"/>
        <w:numPr>
          <w:ilvl w:val="0"/>
          <w:numId w:val="1"/>
        </w:numPr>
        <w:tabs>
          <w:tab w:pos="1921" w:val="left" w:leader="none"/>
        </w:tabs>
        <w:spacing w:line="271" w:lineRule="auto" w:before="38" w:after="0"/>
        <w:ind w:left="1921" w:right="297" w:hanging="361"/>
        <w:jc w:val="left"/>
        <w:rPr>
          <w:sz w:val="20"/>
        </w:rPr>
      </w:pPr>
      <w:r>
        <w:rPr>
          <w:b/>
          <w:sz w:val="20"/>
        </w:rPr>
        <w:t>Section</w:t>
      </w:r>
      <w:r>
        <w:rPr>
          <w:b/>
          <w:spacing w:val="-1"/>
          <w:sz w:val="20"/>
        </w:rPr>
        <w:t> </w:t>
      </w:r>
      <w:r>
        <w:rPr>
          <w:b/>
          <w:sz w:val="20"/>
        </w:rPr>
        <w:t>5</w:t>
      </w:r>
      <w:r>
        <w:rPr>
          <w:b/>
          <w:spacing w:val="-7"/>
          <w:sz w:val="20"/>
        </w:rPr>
        <w:t> </w:t>
      </w:r>
      <w:r>
        <w:rPr>
          <w:sz w:val="20"/>
        </w:rPr>
        <w:t>recommends</w:t>
      </w:r>
      <w:r>
        <w:rPr>
          <w:spacing w:val="-10"/>
          <w:sz w:val="20"/>
        </w:rPr>
        <w:t> </w:t>
      </w:r>
      <w:r>
        <w:rPr>
          <w:sz w:val="20"/>
        </w:rPr>
        <w:t>an</w:t>
      </w:r>
      <w:r>
        <w:rPr>
          <w:spacing w:val="-4"/>
          <w:sz w:val="20"/>
        </w:rPr>
        <w:t> </w:t>
      </w:r>
      <w:r>
        <w:rPr>
          <w:sz w:val="20"/>
        </w:rPr>
        <w:t>asset</w:t>
      </w:r>
      <w:r>
        <w:rPr>
          <w:spacing w:val="-1"/>
          <w:sz w:val="20"/>
        </w:rPr>
        <w:t> </w:t>
      </w:r>
      <w:r>
        <w:rPr>
          <w:sz w:val="20"/>
        </w:rPr>
        <w:t>allocation</w:t>
      </w:r>
      <w:r>
        <w:rPr>
          <w:spacing w:val="-3"/>
          <w:sz w:val="20"/>
        </w:rPr>
        <w:t> </w:t>
      </w:r>
      <w:r>
        <w:rPr>
          <w:sz w:val="20"/>
        </w:rPr>
        <w:t>strategy</w:t>
      </w:r>
      <w:r>
        <w:rPr>
          <w:spacing w:val="-7"/>
          <w:sz w:val="20"/>
        </w:rPr>
        <w:t> </w:t>
      </w:r>
      <w:r>
        <w:rPr>
          <w:sz w:val="20"/>
        </w:rPr>
        <w:t>and</w:t>
      </w:r>
      <w:r>
        <w:rPr>
          <w:spacing w:val="-4"/>
          <w:sz w:val="20"/>
        </w:rPr>
        <w:t> </w:t>
      </w:r>
      <w:r>
        <w:rPr>
          <w:sz w:val="20"/>
        </w:rPr>
        <w:t>presents</w:t>
      </w:r>
      <w:r>
        <w:rPr>
          <w:spacing w:val="-10"/>
          <w:sz w:val="20"/>
        </w:rPr>
        <w:t> </w:t>
      </w:r>
      <w:r>
        <w:rPr>
          <w:sz w:val="20"/>
        </w:rPr>
        <w:t>projected</w:t>
      </w:r>
      <w:r>
        <w:rPr>
          <w:spacing w:val="-4"/>
          <w:sz w:val="20"/>
        </w:rPr>
        <w:t> </w:t>
      </w:r>
      <w:r>
        <w:rPr>
          <w:sz w:val="20"/>
        </w:rPr>
        <w:t>cash</w:t>
      </w:r>
      <w:r>
        <w:rPr>
          <w:spacing w:val="-12"/>
          <w:sz w:val="20"/>
        </w:rPr>
        <w:t> </w:t>
      </w:r>
      <w:r>
        <w:rPr>
          <w:sz w:val="20"/>
        </w:rPr>
        <w:t>flows</w:t>
      </w:r>
      <w:r>
        <w:rPr>
          <w:spacing w:val="-7"/>
          <w:sz w:val="20"/>
        </w:rPr>
        <w:t> </w:t>
      </w:r>
      <w:r>
        <w:rPr>
          <w:sz w:val="20"/>
        </w:rPr>
        <w:t>with</w:t>
      </w:r>
      <w:r>
        <w:rPr>
          <w:spacing w:val="-3"/>
          <w:sz w:val="20"/>
        </w:rPr>
        <w:t> </w:t>
      </w:r>
      <w:r>
        <w:rPr>
          <w:sz w:val="20"/>
        </w:rPr>
        <w:t>a sensitivity analysis.</w:t>
      </w:r>
    </w:p>
    <w:p>
      <w:pPr>
        <w:pStyle w:val="ListParagraph"/>
        <w:numPr>
          <w:ilvl w:val="0"/>
          <w:numId w:val="1"/>
        </w:numPr>
        <w:tabs>
          <w:tab w:pos="1920" w:val="left" w:leader="none"/>
        </w:tabs>
        <w:spacing w:line="240" w:lineRule="auto" w:before="2" w:after="0"/>
        <w:ind w:left="1920" w:right="0" w:hanging="360"/>
        <w:jc w:val="left"/>
        <w:rPr>
          <w:sz w:val="20"/>
        </w:rPr>
      </w:pPr>
      <w:r>
        <w:rPr>
          <w:b/>
          <w:sz w:val="20"/>
        </w:rPr>
        <w:t>Section</w:t>
      </w:r>
      <w:r>
        <w:rPr>
          <w:b/>
          <w:spacing w:val="-16"/>
          <w:sz w:val="20"/>
        </w:rPr>
        <w:t> </w:t>
      </w:r>
      <w:r>
        <w:rPr>
          <w:b/>
          <w:sz w:val="20"/>
        </w:rPr>
        <w:t>6</w:t>
      </w:r>
      <w:r>
        <w:rPr>
          <w:b/>
          <w:spacing w:val="-12"/>
          <w:sz w:val="20"/>
        </w:rPr>
        <w:t> </w:t>
      </w:r>
      <w:r>
        <w:rPr>
          <w:sz w:val="20"/>
        </w:rPr>
        <w:t>discusses</w:t>
      </w:r>
      <w:r>
        <w:rPr>
          <w:spacing w:val="-14"/>
          <w:sz w:val="20"/>
        </w:rPr>
        <w:t> </w:t>
      </w:r>
      <w:r>
        <w:rPr>
          <w:sz w:val="20"/>
        </w:rPr>
        <w:t>the</w:t>
      </w:r>
      <w:r>
        <w:rPr>
          <w:spacing w:val="-8"/>
          <w:sz w:val="20"/>
        </w:rPr>
        <w:t> </w:t>
      </w:r>
      <w:r>
        <w:rPr>
          <w:sz w:val="20"/>
        </w:rPr>
        <w:t>report's</w:t>
      </w:r>
      <w:r>
        <w:rPr>
          <w:spacing w:val="-14"/>
          <w:sz w:val="20"/>
        </w:rPr>
        <w:t> </w:t>
      </w:r>
      <w:r>
        <w:rPr>
          <w:sz w:val="20"/>
        </w:rPr>
        <w:t>limitations</w:t>
      </w:r>
      <w:r>
        <w:rPr>
          <w:spacing w:val="-14"/>
          <w:sz w:val="20"/>
        </w:rPr>
        <w:t> </w:t>
      </w:r>
      <w:r>
        <w:rPr>
          <w:sz w:val="20"/>
        </w:rPr>
        <w:t>and</w:t>
      </w:r>
      <w:r>
        <w:rPr>
          <w:spacing w:val="-10"/>
          <w:sz w:val="20"/>
        </w:rPr>
        <w:t> </w:t>
      </w:r>
      <w:r>
        <w:rPr>
          <w:sz w:val="20"/>
        </w:rPr>
        <w:t>gives</w:t>
      </w:r>
      <w:r>
        <w:rPr>
          <w:spacing w:val="-22"/>
          <w:sz w:val="20"/>
        </w:rPr>
        <w:t> </w:t>
      </w:r>
      <w:r>
        <w:rPr>
          <w:sz w:val="20"/>
        </w:rPr>
        <w:t>final</w:t>
      </w:r>
      <w:r>
        <w:rPr>
          <w:spacing w:val="-4"/>
          <w:sz w:val="20"/>
        </w:rPr>
        <w:t> </w:t>
      </w:r>
      <w:r>
        <w:rPr>
          <w:spacing w:val="-2"/>
          <w:sz w:val="20"/>
        </w:rPr>
        <w:t>remarks.</w:t>
      </w:r>
    </w:p>
    <w:p>
      <w:pPr>
        <w:pStyle w:val="BodyText"/>
        <w:spacing w:before="45"/>
      </w:pPr>
    </w:p>
    <w:p>
      <w:pPr>
        <w:pStyle w:val="Heading1"/>
      </w:pPr>
      <w:bookmarkStart w:name="Section 1 - Aged Care Liabilities of AAG" w:id="2"/>
      <w:bookmarkEnd w:id="2"/>
      <w:r>
        <w:rPr>
          <w:b w:val="0"/>
        </w:rPr>
      </w:r>
      <w:r>
        <w:rPr>
          <w:color w:val="0D465F"/>
        </w:rPr>
        <w:t>Section</w:t>
      </w:r>
      <w:r>
        <w:rPr>
          <w:color w:val="0D465F"/>
          <w:spacing w:val="-16"/>
        </w:rPr>
        <w:t> </w:t>
      </w:r>
      <w:r>
        <w:rPr>
          <w:color w:val="0D465F"/>
        </w:rPr>
        <w:t>1</w:t>
      </w:r>
      <w:r>
        <w:rPr>
          <w:color w:val="0D465F"/>
          <w:spacing w:val="-9"/>
        </w:rPr>
        <w:t> </w:t>
      </w:r>
      <w:r>
        <w:rPr>
          <w:color w:val="0D465F"/>
        </w:rPr>
        <w:t>-</w:t>
      </w:r>
      <w:r>
        <w:rPr>
          <w:color w:val="0D465F"/>
          <w:spacing w:val="-14"/>
        </w:rPr>
        <w:t> </w:t>
      </w:r>
      <w:r>
        <w:rPr>
          <w:color w:val="0D465F"/>
        </w:rPr>
        <w:t>Aged</w:t>
      </w:r>
      <w:r>
        <w:rPr>
          <w:color w:val="0D465F"/>
          <w:spacing w:val="-9"/>
        </w:rPr>
        <w:t> </w:t>
      </w:r>
      <w:r>
        <w:rPr>
          <w:color w:val="0D465F"/>
        </w:rPr>
        <w:t>Care</w:t>
      </w:r>
      <w:r>
        <w:rPr>
          <w:color w:val="0D465F"/>
          <w:spacing w:val="-10"/>
        </w:rPr>
        <w:t> </w:t>
      </w:r>
      <w:r>
        <w:rPr>
          <w:color w:val="0D465F"/>
        </w:rPr>
        <w:t>Liabilities</w:t>
      </w:r>
      <w:r>
        <w:rPr>
          <w:color w:val="0D465F"/>
          <w:spacing w:val="-12"/>
        </w:rPr>
        <w:t> </w:t>
      </w:r>
      <w:r>
        <w:rPr>
          <w:color w:val="0D465F"/>
        </w:rPr>
        <w:t>of</w:t>
      </w:r>
      <w:r>
        <w:rPr>
          <w:color w:val="0D465F"/>
          <w:spacing w:val="-13"/>
        </w:rPr>
        <w:t> </w:t>
      </w:r>
      <w:r>
        <w:rPr>
          <w:color w:val="0D465F"/>
          <w:spacing w:val="-5"/>
        </w:rPr>
        <w:t>AAG</w:t>
      </w:r>
    </w:p>
    <w:p>
      <w:pPr>
        <w:pStyle w:val="BodyText"/>
        <w:spacing w:line="278" w:lineRule="auto" w:before="224"/>
        <w:ind w:left="1200" w:right="269"/>
      </w:pPr>
      <w:r>
        <w:rPr/>
        <w:t>AAG's primary liability stems</w:t>
      </w:r>
      <w:r>
        <w:rPr>
          <w:spacing w:val="-1"/>
        </w:rPr>
        <w:t> </w:t>
      </w:r>
      <w:r>
        <w:rPr/>
        <w:t>from its commitment to providing age care services</w:t>
      </w:r>
      <w:r>
        <w:rPr>
          <w:spacing w:val="-1"/>
        </w:rPr>
        <w:t> </w:t>
      </w:r>
      <w:r>
        <w:rPr/>
        <w:t>for the entirety of a client's</w:t>
      </w:r>
      <w:r>
        <w:rPr>
          <w:spacing w:val="-9"/>
        </w:rPr>
        <w:t> </w:t>
      </w:r>
      <w:r>
        <w:rPr/>
        <w:t>life.</w:t>
      </w:r>
      <w:r>
        <w:rPr>
          <w:spacing w:val="-8"/>
        </w:rPr>
        <w:t> </w:t>
      </w:r>
      <w:r>
        <w:rPr/>
        <w:t>AAG</w:t>
      </w:r>
      <w:r>
        <w:rPr>
          <w:spacing w:val="-9"/>
        </w:rPr>
        <w:t> </w:t>
      </w:r>
      <w:r>
        <w:rPr/>
        <w:t>is</w:t>
      </w:r>
      <w:r>
        <w:rPr>
          <w:spacing w:val="-10"/>
        </w:rPr>
        <w:t> </w:t>
      </w:r>
      <w:r>
        <w:rPr/>
        <w:t>obligated</w:t>
      </w:r>
      <w:r>
        <w:rPr>
          <w:spacing w:val="-12"/>
        </w:rPr>
        <w:t> </w:t>
      </w:r>
      <w:r>
        <w:rPr/>
        <w:t>to</w:t>
      </w:r>
      <w:r>
        <w:rPr>
          <w:spacing w:val="-6"/>
        </w:rPr>
        <w:t> </w:t>
      </w:r>
      <w:r>
        <w:rPr/>
        <w:t>continue</w:t>
      </w:r>
      <w:r>
        <w:rPr>
          <w:spacing w:val="-7"/>
        </w:rPr>
        <w:t> </w:t>
      </w:r>
      <w:r>
        <w:rPr/>
        <w:t>care</w:t>
      </w:r>
      <w:r>
        <w:rPr>
          <w:spacing w:val="-11"/>
        </w:rPr>
        <w:t> </w:t>
      </w:r>
      <w:r>
        <w:rPr/>
        <w:t>indefinitely, and</w:t>
      </w:r>
      <w:r>
        <w:rPr>
          <w:spacing w:val="-6"/>
        </w:rPr>
        <w:t> </w:t>
      </w:r>
      <w:r>
        <w:rPr/>
        <w:t>since</w:t>
      </w:r>
      <w:r>
        <w:rPr>
          <w:spacing w:val="-7"/>
        </w:rPr>
        <w:t> </w:t>
      </w:r>
      <w:r>
        <w:rPr/>
        <w:t>customers</w:t>
      </w:r>
      <w:r>
        <w:rPr>
          <w:spacing w:val="-9"/>
        </w:rPr>
        <w:t> </w:t>
      </w:r>
      <w:r>
        <w:rPr/>
        <w:t>only</w:t>
      </w:r>
      <w:r>
        <w:rPr>
          <w:spacing w:val="-5"/>
        </w:rPr>
        <w:t> </w:t>
      </w:r>
      <w:r>
        <w:rPr/>
        <w:t>exit</w:t>
      </w:r>
      <w:r>
        <w:rPr>
          <w:spacing w:val="-4"/>
        </w:rPr>
        <w:t> </w:t>
      </w:r>
      <w:r>
        <w:rPr/>
        <w:t>upon</w:t>
      </w:r>
      <w:r>
        <w:rPr>
          <w:spacing w:val="-6"/>
        </w:rPr>
        <w:t> </w:t>
      </w:r>
      <w:r>
        <w:rPr/>
        <w:t>death</w:t>
      </w:r>
      <w:r>
        <w:rPr>
          <w:spacing w:val="-6"/>
        </w:rPr>
        <w:t> </w:t>
      </w:r>
      <w:r>
        <w:rPr/>
        <w:t>or voluntarily, the timing and nature of long-term liabilities can be unpredictable. Furthermore, as customers age, their care requirements become more intensive, leading to rising aged care costs.</w:t>
      </w:r>
    </w:p>
    <w:p>
      <w:pPr>
        <w:pStyle w:val="BodyText"/>
        <w:spacing w:line="278" w:lineRule="auto"/>
        <w:ind w:left="1200" w:right="269"/>
      </w:pPr>
      <w:r>
        <w:rPr/>
        <w:t>Age-care inflation primarily drives expenses, which reflects customer demand, wage growth, healthcare</w:t>
      </w:r>
      <w:r>
        <w:rPr>
          <w:spacing w:val="-11"/>
        </w:rPr>
        <w:t> </w:t>
      </w:r>
      <w:r>
        <w:rPr/>
        <w:t>costs,</w:t>
      </w:r>
      <w:r>
        <w:rPr>
          <w:spacing w:val="-1"/>
        </w:rPr>
        <w:t> </w:t>
      </w:r>
      <w:r>
        <w:rPr/>
        <w:t>and</w:t>
      </w:r>
      <w:r>
        <w:rPr>
          <w:spacing w:val="-9"/>
        </w:rPr>
        <w:t> </w:t>
      </w:r>
      <w:r>
        <w:rPr/>
        <w:t>operational</w:t>
      </w:r>
      <w:r>
        <w:rPr>
          <w:spacing w:val="-8"/>
        </w:rPr>
        <w:t> </w:t>
      </w:r>
      <w:r>
        <w:rPr/>
        <w:t>expenses.</w:t>
      </w:r>
      <w:r>
        <w:rPr>
          <w:spacing w:val="-1"/>
        </w:rPr>
        <w:t> </w:t>
      </w:r>
      <w:r>
        <w:rPr/>
        <w:t>Ensuring</w:t>
      </w:r>
      <w:r>
        <w:rPr>
          <w:spacing w:val="-9"/>
        </w:rPr>
        <w:t> </w:t>
      </w:r>
      <w:r>
        <w:rPr/>
        <w:t>long-term</w:t>
      </w:r>
      <w:r>
        <w:rPr>
          <w:spacing w:val="-12"/>
        </w:rPr>
        <w:t> </w:t>
      </w:r>
      <w:r>
        <w:rPr/>
        <w:t>financial</w:t>
      </w:r>
      <w:r>
        <w:rPr>
          <w:spacing w:val="-4"/>
        </w:rPr>
        <w:t> </w:t>
      </w:r>
      <w:r>
        <w:rPr/>
        <w:t>sustainability</w:t>
      </w:r>
      <w:r>
        <w:rPr>
          <w:spacing w:val="-5"/>
        </w:rPr>
        <w:t> </w:t>
      </w:r>
      <w:r>
        <w:rPr/>
        <w:t>requires</w:t>
      </w:r>
      <w:r>
        <w:rPr>
          <w:spacing w:val="-18"/>
        </w:rPr>
        <w:t> </w:t>
      </w:r>
      <w:r>
        <w:rPr/>
        <w:t>AAG to account for its liabilities, which are categorised as follows:</w:t>
      </w:r>
    </w:p>
    <w:p>
      <w:pPr>
        <w:pStyle w:val="ListParagraph"/>
        <w:numPr>
          <w:ilvl w:val="0"/>
          <w:numId w:val="1"/>
        </w:numPr>
        <w:tabs>
          <w:tab w:pos="1921" w:val="left" w:leader="none"/>
        </w:tabs>
        <w:spacing w:line="280" w:lineRule="auto" w:before="227" w:after="0"/>
        <w:ind w:left="1921" w:right="959" w:hanging="361"/>
        <w:jc w:val="left"/>
        <w:rPr>
          <w:sz w:val="20"/>
        </w:rPr>
      </w:pPr>
      <w:r>
        <w:rPr>
          <w:b/>
          <w:sz w:val="20"/>
        </w:rPr>
        <w:t>Customer</w:t>
      </w:r>
      <w:r>
        <w:rPr>
          <w:b/>
          <w:spacing w:val="-2"/>
          <w:sz w:val="20"/>
        </w:rPr>
        <w:t> </w:t>
      </w:r>
      <w:r>
        <w:rPr>
          <w:b/>
          <w:sz w:val="20"/>
        </w:rPr>
        <w:t>care</w:t>
      </w:r>
      <w:r>
        <w:rPr>
          <w:b/>
          <w:spacing w:val="-8"/>
          <w:sz w:val="20"/>
        </w:rPr>
        <w:t> </w:t>
      </w:r>
      <w:r>
        <w:rPr>
          <w:b/>
          <w:sz w:val="20"/>
        </w:rPr>
        <w:t>costs</w:t>
      </w:r>
      <w:r>
        <w:rPr>
          <w:sz w:val="20"/>
        </w:rPr>
        <w:t>:</w:t>
      </w:r>
      <w:r>
        <w:rPr>
          <w:spacing w:val="-5"/>
          <w:sz w:val="20"/>
        </w:rPr>
        <w:t> </w:t>
      </w:r>
      <w:r>
        <w:rPr>
          <w:sz w:val="20"/>
        </w:rPr>
        <w:t>Covering</w:t>
      </w:r>
      <w:r>
        <w:rPr>
          <w:spacing w:val="-13"/>
          <w:sz w:val="20"/>
        </w:rPr>
        <w:t> </w:t>
      </w:r>
      <w:r>
        <w:rPr>
          <w:sz w:val="20"/>
        </w:rPr>
        <w:t>routine</w:t>
      </w:r>
      <w:r>
        <w:rPr>
          <w:spacing w:val="-7"/>
          <w:sz w:val="20"/>
        </w:rPr>
        <w:t> </w:t>
      </w:r>
      <w:r>
        <w:rPr>
          <w:sz w:val="20"/>
        </w:rPr>
        <w:t>services</w:t>
      </w:r>
      <w:r>
        <w:rPr>
          <w:spacing w:val="-10"/>
          <w:sz w:val="20"/>
        </w:rPr>
        <w:t> </w:t>
      </w:r>
      <w:r>
        <w:rPr>
          <w:sz w:val="20"/>
        </w:rPr>
        <w:t>and</w:t>
      </w:r>
      <w:r>
        <w:rPr>
          <w:spacing w:val="-13"/>
          <w:sz w:val="20"/>
        </w:rPr>
        <w:t> </w:t>
      </w:r>
      <w:r>
        <w:rPr>
          <w:sz w:val="20"/>
        </w:rPr>
        <w:t>variable</w:t>
      </w:r>
      <w:r>
        <w:rPr>
          <w:spacing w:val="-8"/>
          <w:sz w:val="20"/>
        </w:rPr>
        <w:t> </w:t>
      </w:r>
      <w:r>
        <w:rPr>
          <w:sz w:val="20"/>
        </w:rPr>
        <w:t>ad-hoc</w:t>
      </w:r>
      <w:r>
        <w:rPr>
          <w:spacing w:val="-2"/>
          <w:sz w:val="20"/>
        </w:rPr>
        <w:t> </w:t>
      </w:r>
      <w:r>
        <w:rPr>
          <w:sz w:val="20"/>
        </w:rPr>
        <w:t>expenses</w:t>
      </w:r>
      <w:r>
        <w:rPr>
          <w:spacing w:val="-11"/>
          <w:sz w:val="20"/>
        </w:rPr>
        <w:t> </w:t>
      </w:r>
      <w:r>
        <w:rPr>
          <w:sz w:val="20"/>
        </w:rPr>
        <w:t>(e.g., emergency treatments, hospitalisations, specialised equipment).</w:t>
      </w:r>
    </w:p>
    <w:p>
      <w:pPr>
        <w:pStyle w:val="ListParagraph"/>
        <w:numPr>
          <w:ilvl w:val="0"/>
          <w:numId w:val="1"/>
        </w:numPr>
        <w:tabs>
          <w:tab w:pos="1921" w:val="left" w:leader="none"/>
        </w:tabs>
        <w:spacing w:line="278" w:lineRule="auto" w:before="0" w:after="0"/>
        <w:ind w:left="1921" w:right="280" w:hanging="361"/>
        <w:jc w:val="left"/>
        <w:rPr>
          <w:sz w:val="20"/>
        </w:rPr>
      </w:pPr>
      <w:r>
        <w:rPr>
          <w:b/>
          <w:sz w:val="20"/>
        </w:rPr>
        <w:t>Business operations costs</w:t>
      </w:r>
      <w:r>
        <w:rPr>
          <w:sz w:val="20"/>
        </w:rPr>
        <w:t>: Covering staff wages, facility maintenance, utilities, and overheads.</w:t>
      </w:r>
      <w:r>
        <w:rPr>
          <w:spacing w:val="-3"/>
          <w:sz w:val="20"/>
        </w:rPr>
        <w:t> </w:t>
      </w:r>
      <w:r>
        <w:rPr>
          <w:sz w:val="20"/>
        </w:rPr>
        <w:t>These</w:t>
      </w:r>
      <w:r>
        <w:rPr>
          <w:spacing w:val="-2"/>
          <w:sz w:val="20"/>
        </w:rPr>
        <w:t> </w:t>
      </w:r>
      <w:r>
        <w:rPr>
          <w:sz w:val="20"/>
        </w:rPr>
        <w:t>are</w:t>
      </w:r>
      <w:r>
        <w:rPr>
          <w:spacing w:val="-2"/>
          <w:sz w:val="20"/>
        </w:rPr>
        <w:t> </w:t>
      </w:r>
      <w:r>
        <w:rPr>
          <w:sz w:val="20"/>
        </w:rPr>
        <w:t>relatively</w:t>
      </w:r>
      <w:r>
        <w:rPr>
          <w:spacing w:val="-5"/>
          <w:sz w:val="20"/>
        </w:rPr>
        <w:t> </w:t>
      </w:r>
      <w:r>
        <w:rPr>
          <w:sz w:val="20"/>
        </w:rPr>
        <w:t>predictable</w:t>
      </w:r>
      <w:r>
        <w:rPr>
          <w:spacing w:val="-11"/>
          <w:sz w:val="20"/>
        </w:rPr>
        <w:t> </w:t>
      </w:r>
      <w:r>
        <w:rPr>
          <w:sz w:val="20"/>
        </w:rPr>
        <w:t>but</w:t>
      </w:r>
      <w:r>
        <w:rPr>
          <w:spacing w:val="-4"/>
          <w:sz w:val="20"/>
        </w:rPr>
        <w:t> </w:t>
      </w:r>
      <w:r>
        <w:rPr>
          <w:sz w:val="20"/>
        </w:rPr>
        <w:t>can</w:t>
      </w:r>
      <w:r>
        <w:rPr>
          <w:spacing w:val="-11"/>
          <w:sz w:val="20"/>
        </w:rPr>
        <w:t> </w:t>
      </w:r>
      <w:r>
        <w:rPr>
          <w:sz w:val="20"/>
        </w:rPr>
        <w:t>increase</w:t>
      </w:r>
      <w:r>
        <w:rPr>
          <w:spacing w:val="-2"/>
          <w:sz w:val="20"/>
        </w:rPr>
        <w:t> </w:t>
      </w:r>
      <w:r>
        <w:rPr>
          <w:sz w:val="20"/>
        </w:rPr>
        <w:t>over</w:t>
      </w:r>
      <w:r>
        <w:rPr>
          <w:spacing w:val="-5"/>
          <w:sz w:val="20"/>
        </w:rPr>
        <w:t> </w:t>
      </w:r>
      <w:r>
        <w:rPr>
          <w:sz w:val="20"/>
        </w:rPr>
        <w:t>time</w:t>
      </w:r>
      <w:r>
        <w:rPr>
          <w:spacing w:val="-7"/>
          <w:sz w:val="20"/>
        </w:rPr>
        <w:t> </w:t>
      </w:r>
      <w:r>
        <w:rPr>
          <w:sz w:val="20"/>
        </w:rPr>
        <w:t>due</w:t>
      </w:r>
      <w:r>
        <w:rPr>
          <w:spacing w:val="-12"/>
          <w:sz w:val="20"/>
        </w:rPr>
        <w:t> </w:t>
      </w:r>
      <w:r>
        <w:rPr>
          <w:sz w:val="20"/>
        </w:rPr>
        <w:t>to</w:t>
      </w:r>
      <w:r>
        <w:rPr>
          <w:spacing w:val="-7"/>
          <w:sz w:val="20"/>
        </w:rPr>
        <w:t> </w:t>
      </w:r>
      <w:r>
        <w:rPr>
          <w:sz w:val="20"/>
        </w:rPr>
        <w:t>external</w:t>
      </w:r>
      <w:r>
        <w:rPr>
          <w:spacing w:val="-7"/>
          <w:sz w:val="20"/>
        </w:rPr>
        <w:t> </w:t>
      </w:r>
      <w:r>
        <w:rPr>
          <w:sz w:val="20"/>
        </w:rPr>
        <w:t>factors (e.g., inflation, regulatory changes).</w:t>
      </w:r>
    </w:p>
    <w:p>
      <w:pPr>
        <w:pStyle w:val="BodyText"/>
        <w:spacing w:before="229"/>
        <w:ind w:left="1200"/>
      </w:pPr>
      <w:r>
        <w:rPr/>
        <w:t>AAG's</w:t>
      </w:r>
      <w:r>
        <w:rPr>
          <w:spacing w:val="-14"/>
        </w:rPr>
        <w:t> </w:t>
      </w:r>
      <w:r>
        <w:rPr/>
        <w:t>asset</w:t>
      </w:r>
      <w:r>
        <w:rPr>
          <w:spacing w:val="-6"/>
        </w:rPr>
        <w:t> </w:t>
      </w:r>
      <w:r>
        <w:rPr/>
        <w:t>portfolio</w:t>
      </w:r>
      <w:r>
        <w:rPr>
          <w:spacing w:val="-13"/>
        </w:rPr>
        <w:t> </w:t>
      </w:r>
      <w:r>
        <w:rPr/>
        <w:t>should</w:t>
      </w:r>
      <w:r>
        <w:rPr>
          <w:spacing w:val="-15"/>
        </w:rPr>
        <w:t> </w:t>
      </w:r>
      <w:r>
        <w:rPr/>
        <w:t>meet</w:t>
      </w:r>
      <w:r>
        <w:rPr>
          <w:spacing w:val="-10"/>
        </w:rPr>
        <w:t> </w:t>
      </w:r>
      <w:r>
        <w:rPr/>
        <w:t>the</w:t>
      </w:r>
      <w:r>
        <w:rPr>
          <w:spacing w:val="-15"/>
        </w:rPr>
        <w:t> </w:t>
      </w:r>
      <w:r>
        <w:rPr/>
        <w:t>following</w:t>
      </w:r>
      <w:r>
        <w:rPr>
          <w:spacing w:val="-8"/>
        </w:rPr>
        <w:t> </w:t>
      </w:r>
      <w:r>
        <w:rPr>
          <w:spacing w:val="-2"/>
        </w:rPr>
        <w:t>requirements:</w:t>
      </w:r>
    </w:p>
    <w:p>
      <w:pPr>
        <w:pStyle w:val="ListParagraph"/>
        <w:numPr>
          <w:ilvl w:val="0"/>
          <w:numId w:val="1"/>
        </w:numPr>
        <w:tabs>
          <w:tab w:pos="1921" w:val="left" w:leader="none"/>
        </w:tabs>
        <w:spacing w:line="276" w:lineRule="auto" w:before="185" w:after="0"/>
        <w:ind w:left="1921" w:right="461" w:hanging="361"/>
        <w:jc w:val="left"/>
        <w:rPr>
          <w:sz w:val="20"/>
        </w:rPr>
      </w:pPr>
      <w:r>
        <w:rPr>
          <w:b/>
          <w:sz w:val="20"/>
        </w:rPr>
        <w:t>Long-term</w:t>
      </w:r>
      <w:r>
        <w:rPr>
          <w:b/>
          <w:spacing w:val="-13"/>
          <w:sz w:val="20"/>
        </w:rPr>
        <w:t> </w:t>
      </w:r>
      <w:r>
        <w:rPr>
          <w:b/>
          <w:sz w:val="20"/>
        </w:rPr>
        <w:t>growth</w:t>
      </w:r>
      <w:r>
        <w:rPr>
          <w:b/>
          <w:spacing w:val="-4"/>
          <w:sz w:val="20"/>
        </w:rPr>
        <w:t> </w:t>
      </w:r>
      <w:r>
        <w:rPr>
          <w:b/>
          <w:sz w:val="20"/>
        </w:rPr>
        <w:t>and</w:t>
      </w:r>
      <w:r>
        <w:rPr>
          <w:b/>
          <w:spacing w:val="-4"/>
          <w:sz w:val="20"/>
        </w:rPr>
        <w:t> </w:t>
      </w:r>
      <w:r>
        <w:rPr>
          <w:b/>
          <w:sz w:val="20"/>
        </w:rPr>
        <w:t>sustainability</w:t>
      </w:r>
      <w:r>
        <w:rPr>
          <w:sz w:val="20"/>
        </w:rPr>
        <w:t>:</w:t>
      </w:r>
      <w:r>
        <w:rPr>
          <w:spacing w:val="-4"/>
          <w:sz w:val="20"/>
        </w:rPr>
        <w:t> </w:t>
      </w:r>
      <w:r>
        <w:rPr>
          <w:sz w:val="20"/>
        </w:rPr>
        <w:t>Since</w:t>
      </w:r>
      <w:r>
        <w:rPr>
          <w:spacing w:val="-14"/>
          <w:sz w:val="20"/>
        </w:rPr>
        <w:t> </w:t>
      </w:r>
      <w:r>
        <w:rPr>
          <w:sz w:val="20"/>
        </w:rPr>
        <w:t>liabilities</w:t>
      </w:r>
      <w:r>
        <w:rPr>
          <w:spacing w:val="-9"/>
          <w:sz w:val="20"/>
        </w:rPr>
        <w:t> </w:t>
      </w:r>
      <w:r>
        <w:rPr>
          <w:sz w:val="20"/>
        </w:rPr>
        <w:t>are</w:t>
      </w:r>
      <w:r>
        <w:rPr>
          <w:spacing w:val="-7"/>
          <w:sz w:val="20"/>
        </w:rPr>
        <w:t> </w:t>
      </w:r>
      <w:r>
        <w:rPr>
          <w:sz w:val="20"/>
        </w:rPr>
        <w:t>throughout the</w:t>
      </w:r>
      <w:r>
        <w:rPr>
          <w:spacing w:val="-6"/>
          <w:sz w:val="20"/>
        </w:rPr>
        <w:t> </w:t>
      </w:r>
      <w:r>
        <w:rPr>
          <w:sz w:val="20"/>
        </w:rPr>
        <w:t>clients'</w:t>
      </w:r>
      <w:r>
        <w:rPr>
          <w:spacing w:val="-5"/>
          <w:sz w:val="20"/>
        </w:rPr>
        <w:t> </w:t>
      </w:r>
      <w:r>
        <w:rPr>
          <w:sz w:val="20"/>
        </w:rPr>
        <w:t>lives,</w:t>
      </w:r>
      <w:r>
        <w:rPr>
          <w:spacing w:val="-3"/>
          <w:sz w:val="20"/>
        </w:rPr>
        <w:t> </w:t>
      </w:r>
      <w:r>
        <w:rPr>
          <w:sz w:val="20"/>
        </w:rPr>
        <w:t>the portfolio should prioritise stable returns and sustainable long-term growth to cover rising liabilities over time comfortably.</w:t>
      </w:r>
    </w:p>
    <w:p>
      <w:pPr>
        <w:pStyle w:val="ListParagraph"/>
        <w:numPr>
          <w:ilvl w:val="0"/>
          <w:numId w:val="1"/>
        </w:numPr>
        <w:tabs>
          <w:tab w:pos="1921" w:val="left" w:leader="none"/>
        </w:tabs>
        <w:spacing w:line="276" w:lineRule="auto" w:before="5" w:after="0"/>
        <w:ind w:left="1921" w:right="432" w:hanging="361"/>
        <w:jc w:val="left"/>
        <w:rPr>
          <w:sz w:val="20"/>
        </w:rPr>
      </w:pPr>
      <w:r>
        <w:rPr>
          <w:b/>
          <w:sz w:val="20"/>
        </w:rPr>
        <w:t>Liquidity</w:t>
      </w:r>
      <w:r>
        <w:rPr>
          <w:sz w:val="20"/>
        </w:rPr>
        <w:t>:</w:t>
      </w:r>
      <w:r>
        <w:rPr>
          <w:spacing w:val="-14"/>
          <w:sz w:val="20"/>
        </w:rPr>
        <w:t> </w:t>
      </w:r>
      <w:r>
        <w:rPr>
          <w:sz w:val="20"/>
        </w:rPr>
        <w:t>AAG</w:t>
      </w:r>
      <w:r>
        <w:rPr>
          <w:spacing w:val="-10"/>
          <w:sz w:val="20"/>
        </w:rPr>
        <w:t> </w:t>
      </w:r>
      <w:r>
        <w:rPr>
          <w:sz w:val="20"/>
        </w:rPr>
        <w:t>must</w:t>
      </w:r>
      <w:r>
        <w:rPr>
          <w:spacing w:val="-5"/>
          <w:sz w:val="20"/>
        </w:rPr>
        <w:t> </w:t>
      </w:r>
      <w:r>
        <w:rPr>
          <w:sz w:val="20"/>
        </w:rPr>
        <w:t>cover</w:t>
      </w:r>
      <w:r>
        <w:rPr>
          <w:spacing w:val="-5"/>
          <w:sz w:val="20"/>
        </w:rPr>
        <w:t> </w:t>
      </w:r>
      <w:r>
        <w:rPr>
          <w:sz w:val="20"/>
        </w:rPr>
        <w:t>short-term</w:t>
      </w:r>
      <w:r>
        <w:rPr>
          <w:spacing w:val="-1"/>
          <w:sz w:val="20"/>
        </w:rPr>
        <w:t> </w:t>
      </w:r>
      <w:r>
        <w:rPr>
          <w:sz w:val="20"/>
        </w:rPr>
        <w:t>costs</w:t>
      </w:r>
      <w:r>
        <w:rPr>
          <w:spacing w:val="-11"/>
          <w:sz w:val="20"/>
        </w:rPr>
        <w:t> </w:t>
      </w:r>
      <w:r>
        <w:rPr>
          <w:sz w:val="20"/>
        </w:rPr>
        <w:t>to</w:t>
      </w:r>
      <w:r>
        <w:rPr>
          <w:spacing w:val="-3"/>
          <w:sz w:val="20"/>
        </w:rPr>
        <w:t> </w:t>
      </w:r>
      <w:r>
        <w:rPr>
          <w:sz w:val="20"/>
        </w:rPr>
        <w:t>sustain</w:t>
      </w:r>
      <w:r>
        <w:rPr>
          <w:spacing w:val="-12"/>
          <w:sz w:val="20"/>
        </w:rPr>
        <w:t> </w:t>
      </w:r>
      <w:r>
        <w:rPr>
          <w:sz w:val="20"/>
        </w:rPr>
        <w:t>daily</w:t>
      </w:r>
      <w:r>
        <w:rPr>
          <w:spacing w:val="-11"/>
          <w:sz w:val="20"/>
        </w:rPr>
        <w:t> </w:t>
      </w:r>
      <w:r>
        <w:rPr>
          <w:sz w:val="20"/>
        </w:rPr>
        <w:t>operations.</w:t>
      </w:r>
      <w:r>
        <w:rPr>
          <w:spacing w:val="-4"/>
          <w:sz w:val="20"/>
        </w:rPr>
        <w:t> </w:t>
      </w:r>
      <w:r>
        <w:rPr>
          <w:sz w:val="20"/>
        </w:rPr>
        <w:t>The</w:t>
      </w:r>
      <w:r>
        <w:rPr>
          <w:spacing w:val="-8"/>
          <w:sz w:val="20"/>
        </w:rPr>
        <w:t> </w:t>
      </w:r>
      <w:r>
        <w:rPr>
          <w:sz w:val="20"/>
        </w:rPr>
        <w:t>portfolio</w:t>
      </w:r>
      <w:r>
        <w:rPr>
          <w:spacing w:val="-12"/>
          <w:sz w:val="20"/>
        </w:rPr>
        <w:t> </w:t>
      </w:r>
      <w:r>
        <w:rPr>
          <w:sz w:val="20"/>
        </w:rPr>
        <w:t>should maintain sufficient liquid assets to fund immediate liabilities, facilitate portfolio rebalancing, and support reinvestment of returns for long-term growth.</w:t>
      </w:r>
    </w:p>
    <w:p>
      <w:pPr>
        <w:pStyle w:val="ListParagraph"/>
        <w:numPr>
          <w:ilvl w:val="0"/>
          <w:numId w:val="1"/>
        </w:numPr>
        <w:tabs>
          <w:tab w:pos="1921" w:val="left" w:leader="none"/>
        </w:tabs>
        <w:spacing w:line="276" w:lineRule="auto" w:before="0" w:after="0"/>
        <w:ind w:left="1921" w:right="250" w:hanging="361"/>
        <w:jc w:val="left"/>
        <w:rPr>
          <w:sz w:val="20"/>
        </w:rPr>
      </w:pPr>
      <w:r>
        <w:rPr>
          <w:b/>
          <w:sz w:val="20"/>
        </w:rPr>
        <w:t>Matching</w:t>
      </w:r>
      <w:r>
        <w:rPr>
          <w:b/>
          <w:spacing w:val="-7"/>
          <w:sz w:val="20"/>
        </w:rPr>
        <w:t> </w:t>
      </w:r>
      <w:r>
        <w:rPr>
          <w:b/>
          <w:sz w:val="20"/>
        </w:rPr>
        <w:t>cashflows</w:t>
      </w:r>
      <w:r>
        <w:rPr>
          <w:sz w:val="20"/>
        </w:rPr>
        <w:t>:</w:t>
      </w:r>
      <w:r>
        <w:rPr>
          <w:spacing w:val="-16"/>
          <w:sz w:val="20"/>
        </w:rPr>
        <w:t> </w:t>
      </w:r>
      <w:r>
        <w:rPr>
          <w:sz w:val="20"/>
        </w:rPr>
        <w:t>As</w:t>
      </w:r>
      <w:r>
        <w:rPr>
          <w:spacing w:val="-11"/>
          <w:sz w:val="20"/>
        </w:rPr>
        <w:t> </w:t>
      </w:r>
      <w:r>
        <w:rPr>
          <w:sz w:val="20"/>
        </w:rPr>
        <w:t>liabilities</w:t>
      </w:r>
      <w:r>
        <w:rPr>
          <w:spacing w:val="-10"/>
          <w:sz w:val="20"/>
        </w:rPr>
        <w:t> </w:t>
      </w:r>
      <w:r>
        <w:rPr>
          <w:sz w:val="20"/>
        </w:rPr>
        <w:t>are</w:t>
      </w:r>
      <w:r>
        <w:rPr>
          <w:spacing w:val="-4"/>
          <w:sz w:val="20"/>
        </w:rPr>
        <w:t> </w:t>
      </w:r>
      <w:r>
        <w:rPr>
          <w:sz w:val="20"/>
        </w:rPr>
        <w:t>recurring</w:t>
      </w:r>
      <w:r>
        <w:rPr>
          <w:spacing w:val="-4"/>
          <w:sz w:val="20"/>
        </w:rPr>
        <w:t> </w:t>
      </w:r>
      <w:r>
        <w:rPr>
          <w:sz w:val="20"/>
        </w:rPr>
        <w:t>and</w:t>
      </w:r>
      <w:r>
        <w:rPr>
          <w:spacing w:val="-12"/>
          <w:sz w:val="20"/>
        </w:rPr>
        <w:t> </w:t>
      </w:r>
      <w:r>
        <w:rPr>
          <w:sz w:val="20"/>
        </w:rPr>
        <w:t>long-term,</w:t>
      </w:r>
      <w:r>
        <w:rPr>
          <w:spacing w:val="-1"/>
          <w:sz w:val="20"/>
        </w:rPr>
        <w:t> </w:t>
      </w:r>
      <w:r>
        <w:rPr>
          <w:sz w:val="20"/>
        </w:rPr>
        <w:t>asset</w:t>
      </w:r>
      <w:r>
        <w:rPr>
          <w:spacing w:val="-1"/>
          <w:sz w:val="20"/>
        </w:rPr>
        <w:t> </w:t>
      </w:r>
      <w:r>
        <w:rPr>
          <w:sz w:val="20"/>
        </w:rPr>
        <w:t>classes</w:t>
      </w:r>
      <w:r>
        <w:rPr>
          <w:spacing w:val="-9"/>
          <w:sz w:val="20"/>
        </w:rPr>
        <w:t> </w:t>
      </w:r>
      <w:r>
        <w:rPr>
          <w:sz w:val="20"/>
        </w:rPr>
        <w:t>with</w:t>
      </w:r>
      <w:r>
        <w:rPr>
          <w:spacing w:val="-4"/>
          <w:sz w:val="20"/>
        </w:rPr>
        <w:t> </w:t>
      </w:r>
      <w:r>
        <w:rPr>
          <w:sz w:val="20"/>
        </w:rPr>
        <w:t>predictable income streams should be prioritised to align investment inflows with projected outflows.</w:t>
      </w:r>
    </w:p>
    <w:p>
      <w:pPr>
        <w:pStyle w:val="ListParagraph"/>
        <w:numPr>
          <w:ilvl w:val="0"/>
          <w:numId w:val="1"/>
        </w:numPr>
        <w:tabs>
          <w:tab w:pos="1921" w:val="left" w:leader="none"/>
        </w:tabs>
        <w:spacing w:line="276" w:lineRule="auto" w:before="0" w:after="0"/>
        <w:ind w:left="1921" w:right="240" w:hanging="361"/>
        <w:jc w:val="left"/>
        <w:rPr>
          <w:sz w:val="20"/>
        </w:rPr>
      </w:pPr>
      <w:r>
        <w:rPr>
          <w:b/>
          <w:sz w:val="20"/>
        </w:rPr>
        <w:t>Risk</w:t>
      </w:r>
      <w:r>
        <w:rPr>
          <w:b/>
          <w:spacing w:val="-4"/>
          <w:sz w:val="20"/>
        </w:rPr>
        <w:t> </w:t>
      </w:r>
      <w:r>
        <w:rPr>
          <w:b/>
          <w:sz w:val="20"/>
        </w:rPr>
        <w:t>diversification</w:t>
      </w:r>
      <w:r>
        <w:rPr>
          <w:sz w:val="20"/>
        </w:rPr>
        <w:t>:</w:t>
      </w:r>
      <w:r>
        <w:rPr>
          <w:spacing w:val="-4"/>
          <w:sz w:val="20"/>
        </w:rPr>
        <w:t> </w:t>
      </w:r>
      <w:r>
        <w:rPr>
          <w:sz w:val="20"/>
        </w:rPr>
        <w:t>Given</w:t>
      </w:r>
      <w:r>
        <w:rPr>
          <w:spacing w:val="-11"/>
          <w:sz w:val="20"/>
        </w:rPr>
        <w:t> </w:t>
      </w:r>
      <w:r>
        <w:rPr>
          <w:sz w:val="20"/>
        </w:rPr>
        <w:t>the</w:t>
      </w:r>
      <w:r>
        <w:rPr>
          <w:spacing w:val="-3"/>
          <w:sz w:val="20"/>
        </w:rPr>
        <w:t> </w:t>
      </w:r>
      <w:r>
        <w:rPr>
          <w:sz w:val="20"/>
        </w:rPr>
        <w:t>uncertainty</w:t>
      </w:r>
      <w:r>
        <w:rPr>
          <w:spacing w:val="-9"/>
          <w:sz w:val="20"/>
        </w:rPr>
        <w:t> </w:t>
      </w:r>
      <w:r>
        <w:rPr>
          <w:sz w:val="20"/>
        </w:rPr>
        <w:t>in</w:t>
      </w:r>
      <w:r>
        <w:rPr>
          <w:spacing w:val="-15"/>
          <w:sz w:val="20"/>
        </w:rPr>
        <w:t> </w:t>
      </w:r>
      <w:r>
        <w:rPr>
          <w:sz w:val="20"/>
        </w:rPr>
        <w:t>liabilities,</w:t>
      </w:r>
      <w:r>
        <w:rPr>
          <w:spacing w:val="-12"/>
          <w:sz w:val="20"/>
        </w:rPr>
        <w:t> </w:t>
      </w:r>
      <w:r>
        <w:rPr>
          <w:sz w:val="20"/>
        </w:rPr>
        <w:t>AAG should</w:t>
      </w:r>
      <w:r>
        <w:rPr>
          <w:spacing w:val="-11"/>
          <w:sz w:val="20"/>
        </w:rPr>
        <w:t> </w:t>
      </w:r>
      <w:r>
        <w:rPr>
          <w:sz w:val="20"/>
        </w:rPr>
        <w:t>include</w:t>
      </w:r>
      <w:r>
        <w:rPr>
          <w:spacing w:val="-11"/>
          <w:sz w:val="20"/>
        </w:rPr>
        <w:t> </w:t>
      </w:r>
      <w:r>
        <w:rPr>
          <w:sz w:val="20"/>
        </w:rPr>
        <w:t>low-risk</w:t>
      </w:r>
      <w:r>
        <w:rPr>
          <w:spacing w:val="-2"/>
          <w:sz w:val="20"/>
        </w:rPr>
        <w:t> </w:t>
      </w:r>
      <w:r>
        <w:rPr>
          <w:sz w:val="20"/>
        </w:rPr>
        <w:t>assets</w:t>
      </w:r>
      <w:r>
        <w:rPr>
          <w:spacing w:val="-9"/>
          <w:sz w:val="20"/>
        </w:rPr>
        <w:t> </w:t>
      </w:r>
      <w:r>
        <w:rPr>
          <w:sz w:val="20"/>
        </w:rPr>
        <w:t>to mitigate against downturns and ensure long-term stability.</w:t>
      </w:r>
    </w:p>
    <w:p>
      <w:pPr>
        <w:pStyle w:val="BodyText"/>
        <w:spacing w:before="2"/>
      </w:pPr>
    </w:p>
    <w:p>
      <w:pPr>
        <w:pStyle w:val="BodyText"/>
        <w:spacing w:line="280" w:lineRule="auto"/>
        <w:ind w:left="1200" w:right="269"/>
      </w:pPr>
      <w:r>
        <w:rPr/>
        <w:t>AAG</w:t>
      </w:r>
      <w:r>
        <w:rPr>
          <w:spacing w:val="-5"/>
        </w:rPr>
        <w:t> </w:t>
      </w:r>
      <w:r>
        <w:rPr/>
        <w:t>can</w:t>
      </w:r>
      <w:r>
        <w:rPr>
          <w:spacing w:val="-8"/>
        </w:rPr>
        <w:t> </w:t>
      </w:r>
      <w:r>
        <w:rPr/>
        <w:t>effectively</w:t>
      </w:r>
      <w:r>
        <w:rPr>
          <w:spacing w:val="-14"/>
        </w:rPr>
        <w:t> </w:t>
      </w:r>
      <w:r>
        <w:rPr/>
        <w:t>meet</w:t>
      </w:r>
      <w:r>
        <w:rPr>
          <w:spacing w:val="-9"/>
        </w:rPr>
        <w:t> </w:t>
      </w:r>
      <w:r>
        <w:rPr/>
        <w:t>its</w:t>
      </w:r>
      <w:r>
        <w:rPr>
          <w:spacing w:val="-11"/>
        </w:rPr>
        <w:t> </w:t>
      </w:r>
      <w:r>
        <w:rPr/>
        <w:t>obligations, ensure</w:t>
      </w:r>
      <w:r>
        <w:rPr>
          <w:spacing w:val="-2"/>
        </w:rPr>
        <w:t> </w:t>
      </w:r>
      <w:r>
        <w:rPr/>
        <w:t>continued</w:t>
      </w:r>
      <w:r>
        <w:rPr>
          <w:spacing w:val="-3"/>
        </w:rPr>
        <w:t> </w:t>
      </w:r>
      <w:r>
        <w:rPr/>
        <w:t>operations, and</w:t>
      </w:r>
      <w:r>
        <w:rPr>
          <w:spacing w:val="-7"/>
        </w:rPr>
        <w:t> </w:t>
      </w:r>
      <w:r>
        <w:rPr/>
        <w:t>maintain</w:t>
      </w:r>
      <w:r>
        <w:rPr>
          <w:spacing w:val="-12"/>
        </w:rPr>
        <w:t> </w:t>
      </w:r>
      <w:r>
        <w:rPr/>
        <w:t>long-term sustainable financial growth by structuring its asset portfolio in alignment with liabilities.</w:t>
      </w:r>
    </w:p>
    <w:p>
      <w:pPr>
        <w:spacing w:after="0" w:line="280" w:lineRule="auto"/>
        <w:sectPr>
          <w:footerReference w:type="default" r:id="rId25"/>
          <w:pgSz w:w="11910" w:h="16840"/>
          <w:pgMar w:header="0" w:footer="714" w:top="360" w:bottom="900" w:left="240" w:right="1240"/>
          <w:pgNumType w:start="2"/>
        </w:sectPr>
      </w:pPr>
    </w:p>
    <w:p>
      <w:pPr>
        <w:pStyle w:val="BodyText"/>
        <w:rPr>
          <w:sz w:val="32"/>
        </w:rPr>
      </w:pPr>
    </w:p>
    <w:p>
      <w:pPr>
        <w:pStyle w:val="BodyText"/>
        <w:spacing w:before="285"/>
        <w:rPr>
          <w:sz w:val="32"/>
        </w:rPr>
      </w:pPr>
    </w:p>
    <w:p>
      <w:pPr>
        <w:pStyle w:val="Heading1"/>
        <w:ind w:left="2448"/>
      </w:pPr>
      <w:r>
        <w:rPr/>
        <mc:AlternateContent>
          <mc:Choice Requires="wps">
            <w:drawing>
              <wp:anchor distT="0" distB="0" distL="0" distR="0" allowOverlap="1" layoutInCell="1" locked="0" behindDoc="0" simplePos="0" relativeHeight="15731712">
                <wp:simplePos x="0" y="0"/>
                <wp:positionH relativeFrom="page">
                  <wp:posOffset>227965</wp:posOffset>
                </wp:positionH>
                <wp:positionV relativeFrom="paragraph">
                  <wp:posOffset>-654264</wp:posOffset>
                </wp:positionV>
                <wp:extent cx="1471930" cy="1022985"/>
                <wp:effectExtent l="0" t="0" r="0" b="0"/>
                <wp:wrapNone/>
                <wp:docPr id="23" name="Group 23"/>
                <wp:cNvGraphicFramePr>
                  <a:graphicFrameLocks/>
                </wp:cNvGraphicFramePr>
                <a:graphic>
                  <a:graphicData uri="http://schemas.microsoft.com/office/word/2010/wordprocessingGroup">
                    <wpg:wgp>
                      <wpg:cNvPr id="23" name="Group 23"/>
                      <wpg:cNvGrpSpPr/>
                      <wpg:grpSpPr>
                        <a:xfrm>
                          <a:off x="0" y="0"/>
                          <a:ext cx="1471930" cy="1022985"/>
                          <a:chExt cx="1471930" cy="1022985"/>
                        </a:xfrm>
                      </wpg:grpSpPr>
                      <pic:pic>
                        <pic:nvPicPr>
                          <pic:cNvPr id="24" name="Image 24"/>
                          <pic:cNvPicPr/>
                        </pic:nvPicPr>
                        <pic:blipFill>
                          <a:blip r:embed="rId26" cstate="print"/>
                          <a:stretch>
                            <a:fillRect/>
                          </a:stretch>
                        </pic:blipFill>
                        <pic:spPr>
                          <a:xfrm>
                            <a:off x="0" y="0"/>
                            <a:ext cx="1471930" cy="1022984"/>
                          </a:xfrm>
                          <a:prstGeom prst="rect">
                            <a:avLst/>
                          </a:prstGeom>
                        </pic:spPr>
                      </pic:pic>
                      <wps:wsp>
                        <wps:cNvPr id="25" name="Textbox 25"/>
                        <wps:cNvSpPr txBox="1"/>
                        <wps:spPr>
                          <a:xfrm>
                            <a:off x="0" y="0"/>
                            <a:ext cx="1471930" cy="1022985"/>
                          </a:xfrm>
                          <a:prstGeom prst="rect">
                            <a:avLst/>
                          </a:prstGeom>
                        </wps:spPr>
                        <wps:txbx>
                          <w:txbxContent>
                            <w:p>
                              <w:pPr>
                                <w:spacing w:line="240" w:lineRule="auto" w:before="0"/>
                                <w:rPr>
                                  <w:sz w:val="32"/>
                                </w:rPr>
                              </w:pPr>
                            </w:p>
                            <w:p>
                              <w:pPr>
                                <w:spacing w:line="240" w:lineRule="auto" w:before="318"/>
                                <w:rPr>
                                  <w:sz w:val="32"/>
                                </w:rPr>
                              </w:pPr>
                            </w:p>
                            <w:p>
                              <w:pPr>
                                <w:spacing w:before="0"/>
                                <w:ind w:left="1081" w:right="0" w:firstLine="0"/>
                                <w:jc w:val="left"/>
                                <w:rPr>
                                  <w:b/>
                                  <w:sz w:val="32"/>
                                </w:rPr>
                              </w:pPr>
                              <w:r>
                                <w:rPr>
                                  <w:b/>
                                  <w:color w:val="0D465F"/>
                                  <w:spacing w:val="-2"/>
                                  <w:sz w:val="32"/>
                                </w:rPr>
                                <w:t>Section</w:t>
                              </w:r>
                            </w:p>
                          </w:txbxContent>
                        </wps:txbx>
                        <wps:bodyPr wrap="square" lIns="0" tIns="0" rIns="0" bIns="0" rtlCol="0">
                          <a:noAutofit/>
                        </wps:bodyPr>
                      </wps:wsp>
                    </wpg:wgp>
                  </a:graphicData>
                </a:graphic>
              </wp:anchor>
            </w:drawing>
          </mc:Choice>
          <mc:Fallback>
            <w:pict>
              <v:group style="position:absolute;margin-left:17.950001pt;margin-top:-51.516876pt;width:115.9pt;height:80.55pt;mso-position-horizontal-relative:page;mso-position-vertical-relative:paragraph;z-index:15731712" id="docshapegroup2" coordorigin="359,-1030" coordsize="2318,1611">
                <v:shape style="position:absolute;left:359;top:-1031;width:2318;height:1611" type="#_x0000_t75" id="docshape3" stroked="false">
                  <v:imagedata r:id="rId26" o:title=""/>
                </v:shape>
                <v:shape style="position:absolute;left:359;top:-1031;width:2318;height:1611" type="#_x0000_t202" id="docshape4" filled="false" stroked="false">
                  <v:textbox inset="0,0,0,0">
                    <w:txbxContent>
                      <w:p>
                        <w:pPr>
                          <w:spacing w:line="240" w:lineRule="auto" w:before="0"/>
                          <w:rPr>
                            <w:sz w:val="32"/>
                          </w:rPr>
                        </w:pPr>
                      </w:p>
                      <w:p>
                        <w:pPr>
                          <w:spacing w:line="240" w:lineRule="auto" w:before="318"/>
                          <w:rPr>
                            <w:sz w:val="32"/>
                          </w:rPr>
                        </w:pPr>
                      </w:p>
                      <w:p>
                        <w:pPr>
                          <w:spacing w:before="0"/>
                          <w:ind w:left="1081" w:right="0" w:firstLine="0"/>
                          <w:jc w:val="left"/>
                          <w:rPr>
                            <w:b/>
                            <w:sz w:val="32"/>
                          </w:rPr>
                        </w:pPr>
                        <w:r>
                          <w:rPr>
                            <w:b/>
                            <w:color w:val="0D465F"/>
                            <w:spacing w:val="-2"/>
                            <w:sz w:val="32"/>
                          </w:rPr>
                          <w:t>Section</w:t>
                        </w:r>
                      </w:p>
                    </w:txbxContent>
                  </v:textbox>
                  <w10:wrap type="none"/>
                </v:shape>
                <w10:wrap type="none"/>
              </v:group>
            </w:pict>
          </mc:Fallback>
        </mc:AlternateContent>
      </w:r>
      <w:bookmarkStart w:name="2 - Datasets" w:id="3"/>
      <w:bookmarkEnd w:id="3"/>
      <w:r>
        <w:rPr>
          <w:b w:val="0"/>
        </w:rPr>
      </w:r>
      <w:r>
        <w:rPr>
          <w:color w:val="0D465F"/>
        </w:rPr>
        <w:t>2</w:t>
      </w:r>
      <w:r>
        <w:rPr>
          <w:color w:val="0D465F"/>
          <w:spacing w:val="1"/>
        </w:rPr>
        <w:t> </w:t>
      </w:r>
      <w:r>
        <w:rPr>
          <w:color w:val="0D465F"/>
        </w:rPr>
        <w:t>- </w:t>
      </w:r>
      <w:r>
        <w:rPr>
          <w:color w:val="0D465F"/>
          <w:spacing w:val="-2"/>
        </w:rPr>
        <w:t>Datasets</w:t>
      </w:r>
    </w:p>
    <w:p>
      <w:pPr>
        <w:pStyle w:val="BodyText"/>
        <w:spacing w:before="316"/>
        <w:ind w:left="1200"/>
      </w:pPr>
      <w:r>
        <w:rPr/>
        <w:t>The</w:t>
      </w:r>
      <w:r>
        <w:rPr>
          <w:spacing w:val="-14"/>
        </w:rPr>
        <w:t> </w:t>
      </w:r>
      <w:r>
        <w:rPr/>
        <w:t>projection</w:t>
      </w:r>
      <w:r>
        <w:rPr>
          <w:spacing w:val="-14"/>
        </w:rPr>
        <w:t> </w:t>
      </w:r>
      <w:r>
        <w:rPr/>
        <w:t>cashflows</w:t>
      </w:r>
      <w:r>
        <w:rPr>
          <w:spacing w:val="-14"/>
        </w:rPr>
        <w:t> </w:t>
      </w:r>
      <w:r>
        <w:rPr/>
        <w:t>relied</w:t>
      </w:r>
      <w:r>
        <w:rPr>
          <w:spacing w:val="-14"/>
        </w:rPr>
        <w:t> </w:t>
      </w:r>
      <w:r>
        <w:rPr/>
        <w:t>on</w:t>
      </w:r>
      <w:r>
        <w:rPr>
          <w:spacing w:val="-10"/>
        </w:rPr>
        <w:t> </w:t>
      </w:r>
      <w:r>
        <w:rPr/>
        <w:t>two</w:t>
      </w:r>
      <w:r>
        <w:rPr>
          <w:spacing w:val="-10"/>
        </w:rPr>
        <w:t> </w:t>
      </w:r>
      <w:r>
        <w:rPr/>
        <w:t>primary</w:t>
      </w:r>
      <w:r>
        <w:rPr>
          <w:spacing w:val="-12"/>
        </w:rPr>
        <w:t> </w:t>
      </w:r>
      <w:r>
        <w:rPr/>
        <w:t>data</w:t>
      </w:r>
      <w:r>
        <w:rPr>
          <w:spacing w:val="-15"/>
        </w:rPr>
        <w:t> </w:t>
      </w:r>
      <w:r>
        <w:rPr>
          <w:spacing w:val="-2"/>
        </w:rPr>
        <w:t>files:</w:t>
      </w:r>
    </w:p>
    <w:p>
      <w:pPr>
        <w:pStyle w:val="BodyText"/>
        <w:spacing w:before="39"/>
      </w:pPr>
    </w:p>
    <w:p>
      <w:pPr>
        <w:pStyle w:val="ListParagraph"/>
        <w:numPr>
          <w:ilvl w:val="0"/>
          <w:numId w:val="2"/>
        </w:numPr>
        <w:tabs>
          <w:tab w:pos="1918" w:val="left" w:leader="none"/>
          <w:tab w:pos="1921" w:val="left" w:leader="none"/>
        </w:tabs>
        <w:spacing w:line="283" w:lineRule="auto" w:before="0" w:after="0"/>
        <w:ind w:left="1921" w:right="295" w:hanging="361"/>
        <w:jc w:val="left"/>
        <w:rPr>
          <w:sz w:val="20"/>
        </w:rPr>
      </w:pPr>
      <w:r>
        <w:rPr>
          <w:b/>
          <w:sz w:val="20"/>
        </w:rPr>
        <w:t>INV Data (2004 - 2024)</w:t>
      </w:r>
      <w:r>
        <w:rPr>
          <w:sz w:val="20"/>
        </w:rPr>
        <w:t>: historical data on the assets in AAG's portfolio, such as monthly yields</w:t>
      </w:r>
      <w:r>
        <w:rPr>
          <w:spacing w:val="-11"/>
          <w:sz w:val="20"/>
        </w:rPr>
        <w:t> </w:t>
      </w:r>
      <w:r>
        <w:rPr>
          <w:sz w:val="20"/>
        </w:rPr>
        <w:t>and</w:t>
      </w:r>
      <w:r>
        <w:rPr>
          <w:spacing w:val="-3"/>
          <w:sz w:val="20"/>
        </w:rPr>
        <w:t> </w:t>
      </w:r>
      <w:r>
        <w:rPr>
          <w:sz w:val="20"/>
        </w:rPr>
        <w:t>earnings</w:t>
      </w:r>
      <w:r>
        <w:rPr>
          <w:spacing w:val="-11"/>
          <w:sz w:val="20"/>
        </w:rPr>
        <w:t> </w:t>
      </w:r>
      <w:r>
        <w:rPr>
          <w:sz w:val="20"/>
        </w:rPr>
        <w:t>ratios. It</w:t>
      </w:r>
      <w:r>
        <w:rPr>
          <w:spacing w:val="-3"/>
          <w:sz w:val="20"/>
        </w:rPr>
        <w:t> </w:t>
      </w:r>
      <w:r>
        <w:rPr>
          <w:sz w:val="20"/>
        </w:rPr>
        <w:t>also</w:t>
      </w:r>
      <w:r>
        <w:rPr>
          <w:spacing w:val="-3"/>
          <w:sz w:val="20"/>
        </w:rPr>
        <w:t> </w:t>
      </w:r>
      <w:r>
        <w:rPr>
          <w:sz w:val="20"/>
        </w:rPr>
        <w:t>has</w:t>
      </w:r>
      <w:r>
        <w:rPr>
          <w:spacing w:val="-11"/>
          <w:sz w:val="20"/>
        </w:rPr>
        <w:t> </w:t>
      </w:r>
      <w:r>
        <w:rPr>
          <w:sz w:val="20"/>
        </w:rPr>
        <w:t>the</w:t>
      </w:r>
      <w:r>
        <w:rPr>
          <w:spacing w:val="-3"/>
          <w:sz w:val="20"/>
        </w:rPr>
        <w:t> </w:t>
      </w:r>
      <w:r>
        <w:rPr>
          <w:sz w:val="20"/>
        </w:rPr>
        <w:t>quarterly</w:t>
      </w:r>
      <w:r>
        <w:rPr>
          <w:spacing w:val="-10"/>
          <w:sz w:val="20"/>
        </w:rPr>
        <w:t> </w:t>
      </w:r>
      <w:r>
        <w:rPr>
          <w:sz w:val="20"/>
        </w:rPr>
        <w:t>consumer</w:t>
      </w:r>
      <w:r>
        <w:rPr>
          <w:spacing w:val="-6"/>
          <w:sz w:val="20"/>
        </w:rPr>
        <w:t> </w:t>
      </w:r>
      <w:r>
        <w:rPr>
          <w:sz w:val="20"/>
        </w:rPr>
        <w:t>price</w:t>
      </w:r>
      <w:r>
        <w:rPr>
          <w:spacing w:val="-12"/>
          <w:sz w:val="20"/>
        </w:rPr>
        <w:t> </w:t>
      </w:r>
      <w:r>
        <w:rPr>
          <w:sz w:val="20"/>
        </w:rPr>
        <w:t>index and</w:t>
      </w:r>
      <w:r>
        <w:rPr>
          <w:spacing w:val="-8"/>
          <w:sz w:val="20"/>
        </w:rPr>
        <w:t> </w:t>
      </w:r>
      <w:r>
        <w:rPr>
          <w:sz w:val="20"/>
        </w:rPr>
        <w:t>average</w:t>
      </w:r>
      <w:r>
        <w:rPr>
          <w:spacing w:val="-3"/>
          <w:sz w:val="20"/>
        </w:rPr>
        <w:t> </w:t>
      </w:r>
      <w:r>
        <w:rPr>
          <w:sz w:val="20"/>
        </w:rPr>
        <w:t>weekly </w:t>
      </w:r>
      <w:r>
        <w:rPr>
          <w:spacing w:val="-2"/>
          <w:sz w:val="20"/>
        </w:rPr>
        <w:t>earnings.</w:t>
      </w:r>
    </w:p>
    <w:p>
      <w:pPr>
        <w:pStyle w:val="ListParagraph"/>
        <w:numPr>
          <w:ilvl w:val="0"/>
          <w:numId w:val="2"/>
        </w:numPr>
        <w:tabs>
          <w:tab w:pos="1918" w:val="left" w:leader="none"/>
          <w:tab w:pos="1921" w:val="left" w:leader="none"/>
        </w:tabs>
        <w:spacing w:line="285" w:lineRule="auto" w:before="218" w:after="0"/>
        <w:ind w:left="1921" w:right="250" w:hanging="361"/>
        <w:jc w:val="both"/>
        <w:rPr>
          <w:sz w:val="20"/>
        </w:rPr>
      </w:pPr>
      <w:r>
        <w:rPr>
          <w:b/>
          <w:sz w:val="20"/>
        </w:rPr>
        <w:t>OTHER</w:t>
      </w:r>
      <w:r>
        <w:rPr>
          <w:b/>
          <w:spacing w:val="-12"/>
          <w:sz w:val="20"/>
        </w:rPr>
        <w:t> </w:t>
      </w:r>
      <w:r>
        <w:rPr>
          <w:b/>
          <w:sz w:val="20"/>
        </w:rPr>
        <w:t>DATA</w:t>
      </w:r>
      <w:r>
        <w:rPr>
          <w:sz w:val="20"/>
        </w:rPr>
        <w:t>:</w:t>
      </w:r>
      <w:r>
        <w:rPr>
          <w:spacing w:val="-5"/>
          <w:sz w:val="20"/>
        </w:rPr>
        <w:t> </w:t>
      </w:r>
      <w:r>
        <w:rPr>
          <w:sz w:val="20"/>
        </w:rPr>
        <w:t>information</w:t>
      </w:r>
      <w:r>
        <w:rPr>
          <w:spacing w:val="-3"/>
          <w:sz w:val="20"/>
        </w:rPr>
        <w:t> </w:t>
      </w:r>
      <w:r>
        <w:rPr>
          <w:sz w:val="20"/>
        </w:rPr>
        <w:t>on</w:t>
      </w:r>
      <w:r>
        <w:rPr>
          <w:spacing w:val="-13"/>
          <w:sz w:val="20"/>
        </w:rPr>
        <w:t> </w:t>
      </w:r>
      <w:r>
        <w:rPr>
          <w:sz w:val="20"/>
        </w:rPr>
        <w:t>AAG's</w:t>
      </w:r>
      <w:r>
        <w:rPr>
          <w:spacing w:val="-6"/>
          <w:sz w:val="20"/>
        </w:rPr>
        <w:t> </w:t>
      </w:r>
      <w:r>
        <w:rPr>
          <w:sz w:val="20"/>
        </w:rPr>
        <w:t>customer</w:t>
      </w:r>
      <w:r>
        <w:rPr>
          <w:spacing w:val="-2"/>
          <w:sz w:val="20"/>
        </w:rPr>
        <w:t> </w:t>
      </w:r>
      <w:r>
        <w:rPr>
          <w:sz w:val="20"/>
        </w:rPr>
        <w:t>base</w:t>
      </w:r>
      <w:r>
        <w:rPr>
          <w:spacing w:val="-3"/>
          <w:sz w:val="20"/>
        </w:rPr>
        <w:t> </w:t>
      </w:r>
      <w:r>
        <w:rPr>
          <w:sz w:val="20"/>
        </w:rPr>
        <w:t>and</w:t>
      </w:r>
      <w:r>
        <w:rPr>
          <w:spacing w:val="-3"/>
          <w:sz w:val="20"/>
        </w:rPr>
        <w:t> </w:t>
      </w:r>
      <w:r>
        <w:rPr>
          <w:sz w:val="20"/>
        </w:rPr>
        <w:t>expenses, such</w:t>
      </w:r>
      <w:r>
        <w:rPr>
          <w:spacing w:val="-3"/>
          <w:sz w:val="20"/>
        </w:rPr>
        <w:t> </w:t>
      </w:r>
      <w:r>
        <w:rPr>
          <w:sz w:val="20"/>
        </w:rPr>
        <w:t>as</w:t>
      </w:r>
      <w:r>
        <w:rPr>
          <w:spacing w:val="-6"/>
          <w:sz w:val="20"/>
        </w:rPr>
        <w:t> </w:t>
      </w:r>
      <w:r>
        <w:rPr>
          <w:sz w:val="20"/>
        </w:rPr>
        <w:t>current expense costs, age</w:t>
      </w:r>
      <w:r>
        <w:rPr>
          <w:spacing w:val="-4"/>
          <w:sz w:val="20"/>
        </w:rPr>
        <w:t> </w:t>
      </w:r>
      <w:r>
        <w:rPr>
          <w:sz w:val="20"/>
        </w:rPr>
        <w:t>care</w:t>
      </w:r>
      <w:r>
        <w:rPr>
          <w:spacing w:val="-4"/>
          <w:sz w:val="20"/>
        </w:rPr>
        <w:t> </w:t>
      </w:r>
      <w:r>
        <w:rPr>
          <w:sz w:val="20"/>
        </w:rPr>
        <w:t>cost</w:t>
      </w:r>
      <w:r>
        <w:rPr>
          <w:spacing w:val="-2"/>
          <w:sz w:val="20"/>
        </w:rPr>
        <w:t> </w:t>
      </w:r>
      <w:r>
        <w:rPr>
          <w:sz w:val="20"/>
        </w:rPr>
        <w:t>inflation, new</w:t>
      </w:r>
      <w:r>
        <w:rPr>
          <w:spacing w:val="-14"/>
          <w:sz w:val="20"/>
        </w:rPr>
        <w:t> </w:t>
      </w:r>
      <w:r>
        <w:rPr>
          <w:sz w:val="20"/>
        </w:rPr>
        <w:t>customer</w:t>
      </w:r>
      <w:r>
        <w:rPr>
          <w:spacing w:val="-2"/>
          <w:sz w:val="20"/>
        </w:rPr>
        <w:t> </w:t>
      </w:r>
      <w:r>
        <w:rPr>
          <w:sz w:val="20"/>
        </w:rPr>
        <w:t>projections,</w:t>
      </w:r>
      <w:r>
        <w:rPr>
          <w:spacing w:val="-5"/>
          <w:sz w:val="20"/>
        </w:rPr>
        <w:t> </w:t>
      </w:r>
      <w:r>
        <w:rPr>
          <w:sz w:val="20"/>
        </w:rPr>
        <w:t>mortality</w:t>
      </w:r>
      <w:r>
        <w:rPr>
          <w:spacing w:val="-6"/>
          <w:sz w:val="20"/>
        </w:rPr>
        <w:t> </w:t>
      </w:r>
      <w:r>
        <w:rPr>
          <w:sz w:val="20"/>
        </w:rPr>
        <w:t>rates, customer</w:t>
      </w:r>
      <w:r>
        <w:rPr>
          <w:spacing w:val="-2"/>
          <w:sz w:val="20"/>
        </w:rPr>
        <w:t> </w:t>
      </w:r>
      <w:r>
        <w:rPr>
          <w:sz w:val="20"/>
        </w:rPr>
        <w:t>profile,</w:t>
      </w:r>
      <w:r>
        <w:rPr>
          <w:spacing w:val="-5"/>
          <w:sz w:val="20"/>
        </w:rPr>
        <w:t> </w:t>
      </w:r>
      <w:r>
        <w:rPr>
          <w:sz w:val="20"/>
        </w:rPr>
        <w:t>and cost increase due to the average ageing of the population.</w:t>
      </w:r>
    </w:p>
    <w:p>
      <w:pPr>
        <w:pStyle w:val="BodyText"/>
        <w:spacing w:before="6"/>
      </w:pPr>
    </w:p>
    <w:p>
      <w:pPr>
        <w:pStyle w:val="BodyText"/>
        <w:ind w:left="1200"/>
      </w:pPr>
      <w:r>
        <w:rPr/>
        <w:t>The</w:t>
      </w:r>
      <w:r>
        <w:rPr>
          <w:spacing w:val="-16"/>
        </w:rPr>
        <w:t> </w:t>
      </w:r>
      <w:r>
        <w:rPr/>
        <w:t>datasets</w:t>
      </w:r>
      <w:r>
        <w:rPr>
          <w:spacing w:val="-14"/>
        </w:rPr>
        <w:t> </w:t>
      </w:r>
      <w:r>
        <w:rPr/>
        <w:t>were</w:t>
      </w:r>
      <w:r>
        <w:rPr>
          <w:spacing w:val="-14"/>
        </w:rPr>
        <w:t> </w:t>
      </w:r>
      <w:r>
        <w:rPr/>
        <w:t>analysed</w:t>
      </w:r>
      <w:r>
        <w:rPr>
          <w:spacing w:val="-13"/>
        </w:rPr>
        <w:t> </w:t>
      </w:r>
      <w:r>
        <w:rPr/>
        <w:t>to</w:t>
      </w:r>
      <w:r>
        <w:rPr>
          <w:spacing w:val="-10"/>
        </w:rPr>
        <w:t> </w:t>
      </w:r>
      <w:r>
        <w:rPr/>
        <w:t>develop</w:t>
      </w:r>
      <w:r>
        <w:rPr>
          <w:spacing w:val="-14"/>
        </w:rPr>
        <w:t> </w:t>
      </w:r>
      <w:r>
        <w:rPr/>
        <w:t>observations</w:t>
      </w:r>
      <w:r>
        <w:rPr>
          <w:spacing w:val="-14"/>
        </w:rPr>
        <w:t> </w:t>
      </w:r>
      <w:r>
        <w:rPr/>
        <w:t>to</w:t>
      </w:r>
      <w:r>
        <w:rPr>
          <w:spacing w:val="-14"/>
        </w:rPr>
        <w:t> </w:t>
      </w:r>
      <w:r>
        <w:rPr/>
        <w:t>help</w:t>
      </w:r>
      <w:r>
        <w:rPr>
          <w:spacing w:val="-11"/>
        </w:rPr>
        <w:t> </w:t>
      </w:r>
      <w:r>
        <w:rPr/>
        <w:t>project</w:t>
      </w:r>
      <w:r>
        <w:rPr>
          <w:spacing w:val="-9"/>
        </w:rPr>
        <w:t> </w:t>
      </w:r>
      <w:r>
        <w:rPr/>
        <w:t>asset</w:t>
      </w:r>
      <w:r>
        <w:rPr>
          <w:spacing w:val="-8"/>
        </w:rPr>
        <w:t> </w:t>
      </w:r>
      <w:r>
        <w:rPr/>
        <w:t>and</w:t>
      </w:r>
      <w:r>
        <w:rPr>
          <w:spacing w:val="-11"/>
        </w:rPr>
        <w:t> </w:t>
      </w:r>
      <w:r>
        <w:rPr/>
        <w:t>liability</w:t>
      </w:r>
      <w:r>
        <w:rPr>
          <w:spacing w:val="-13"/>
        </w:rPr>
        <w:t> </w:t>
      </w:r>
      <w:r>
        <w:rPr>
          <w:spacing w:val="-2"/>
        </w:rPr>
        <w:t>cashflows.</w:t>
      </w:r>
    </w:p>
    <w:p>
      <w:pPr>
        <w:pStyle w:val="BodyText"/>
        <w:spacing w:before="31"/>
      </w:pPr>
    </w:p>
    <w:p>
      <w:pPr>
        <w:pStyle w:val="Heading2"/>
      </w:pPr>
      <w:bookmarkStart w:name="Historical Cost and Customer Trends" w:id="4"/>
      <w:bookmarkEnd w:id="4"/>
      <w:r>
        <w:rPr>
          <w:b w:val="0"/>
        </w:rPr>
      </w:r>
      <w:r>
        <w:rPr>
          <w:color w:val="0D465F"/>
        </w:rPr>
        <w:t>Historical</w:t>
      </w:r>
      <w:r>
        <w:rPr>
          <w:color w:val="0D465F"/>
          <w:spacing w:val="-20"/>
        </w:rPr>
        <w:t> </w:t>
      </w:r>
      <w:r>
        <w:rPr>
          <w:color w:val="0D465F"/>
        </w:rPr>
        <w:t>Cost</w:t>
      </w:r>
      <w:r>
        <w:rPr>
          <w:color w:val="0D465F"/>
          <w:spacing w:val="-17"/>
        </w:rPr>
        <w:t> </w:t>
      </w:r>
      <w:r>
        <w:rPr>
          <w:color w:val="0D465F"/>
        </w:rPr>
        <w:t>and</w:t>
      </w:r>
      <w:r>
        <w:rPr>
          <w:color w:val="0D465F"/>
          <w:spacing w:val="-17"/>
        </w:rPr>
        <w:t> </w:t>
      </w:r>
      <w:r>
        <w:rPr>
          <w:color w:val="0D465F"/>
        </w:rPr>
        <w:t>Customer</w:t>
      </w:r>
      <w:r>
        <w:rPr>
          <w:color w:val="0D465F"/>
          <w:spacing w:val="-13"/>
        </w:rPr>
        <w:t> </w:t>
      </w:r>
      <w:r>
        <w:rPr>
          <w:color w:val="0D465F"/>
          <w:spacing w:val="-2"/>
        </w:rPr>
        <w:t>Trends</w:t>
      </w:r>
    </w:p>
    <w:p>
      <w:pPr>
        <w:pStyle w:val="BodyText"/>
        <w:spacing w:line="283" w:lineRule="auto" w:before="296"/>
        <w:ind w:left="1200" w:right="269"/>
      </w:pPr>
      <w:r>
        <w:rPr>
          <w:b/>
        </w:rPr>
        <w:t>Figure</w:t>
      </w:r>
      <w:r>
        <w:rPr>
          <w:b/>
          <w:spacing w:val="-8"/>
        </w:rPr>
        <w:t> </w:t>
      </w:r>
      <w:r>
        <w:rPr>
          <w:b/>
        </w:rPr>
        <w:t>1</w:t>
      </w:r>
      <w:r>
        <w:rPr>
          <w:b/>
          <w:spacing w:val="-2"/>
        </w:rPr>
        <w:t> </w:t>
      </w:r>
      <w:r>
        <w:rPr/>
        <w:t>shows</w:t>
      </w:r>
      <w:r>
        <w:rPr>
          <w:spacing w:val="-10"/>
        </w:rPr>
        <w:t> </w:t>
      </w:r>
      <w:r>
        <w:rPr/>
        <w:t>a</w:t>
      </w:r>
      <w:r>
        <w:rPr>
          <w:spacing w:val="-2"/>
        </w:rPr>
        <w:t> </w:t>
      </w:r>
      <w:r>
        <w:rPr/>
        <w:t>steady</w:t>
      </w:r>
      <w:r>
        <w:rPr>
          <w:spacing w:val="-1"/>
        </w:rPr>
        <w:t> </w:t>
      </w:r>
      <w:r>
        <w:rPr/>
        <w:t>increase</w:t>
      </w:r>
      <w:r>
        <w:rPr>
          <w:spacing w:val="-1"/>
        </w:rPr>
        <w:t> </w:t>
      </w:r>
      <w:r>
        <w:rPr/>
        <w:t>in</w:t>
      </w:r>
      <w:r>
        <w:rPr>
          <w:spacing w:val="-7"/>
        </w:rPr>
        <w:t> </w:t>
      </w:r>
      <w:r>
        <w:rPr/>
        <w:t>the</w:t>
      </w:r>
      <w:r>
        <w:rPr>
          <w:spacing w:val="-7"/>
        </w:rPr>
        <w:t> </w:t>
      </w:r>
      <w:r>
        <w:rPr/>
        <w:t>use</w:t>
      </w:r>
      <w:r>
        <w:rPr>
          <w:spacing w:val="-2"/>
        </w:rPr>
        <w:t> </w:t>
      </w:r>
      <w:r>
        <w:rPr/>
        <w:t>of aged</w:t>
      </w:r>
      <w:r>
        <w:rPr>
          <w:spacing w:val="-2"/>
        </w:rPr>
        <w:t> </w:t>
      </w:r>
      <w:r>
        <w:rPr/>
        <w:t>care, with</w:t>
      </w:r>
      <w:r>
        <w:rPr>
          <w:spacing w:val="-1"/>
        </w:rPr>
        <w:t> </w:t>
      </w:r>
      <w:r>
        <w:rPr/>
        <w:t>aged</w:t>
      </w:r>
      <w:r>
        <w:rPr>
          <w:spacing w:val="-7"/>
        </w:rPr>
        <w:t> </w:t>
      </w:r>
      <w:r>
        <w:rPr/>
        <w:t>care</w:t>
      </w:r>
      <w:r>
        <w:rPr>
          <w:spacing w:val="-11"/>
        </w:rPr>
        <w:t> </w:t>
      </w:r>
      <w:r>
        <w:rPr/>
        <w:t>inflation</w:t>
      </w:r>
      <w:r>
        <w:rPr>
          <w:spacing w:val="-14"/>
        </w:rPr>
        <w:t> </w:t>
      </w:r>
      <w:r>
        <w:rPr/>
        <w:t>following</w:t>
      </w:r>
      <w:r>
        <w:rPr>
          <w:spacing w:val="-1"/>
        </w:rPr>
        <w:t> </w:t>
      </w:r>
      <w:r>
        <w:rPr/>
        <w:t>a</w:t>
      </w:r>
      <w:r>
        <w:rPr>
          <w:spacing w:val="-7"/>
        </w:rPr>
        <w:t> </w:t>
      </w:r>
      <w:r>
        <w:rPr/>
        <w:t>similar trend. A 91.32% correlation between the measures suggests that population ageing significantly drives aged care cost growth, independent of broader economic inflation. This is</w:t>
      </w:r>
      <w:r>
        <w:rPr>
          <w:spacing w:val="-1"/>
        </w:rPr>
        <w:t> </w:t>
      </w:r>
      <w:r>
        <w:rPr/>
        <w:t>likely due to older individuals requiring more specialised care, leading to increased costs.</w:t>
      </w:r>
    </w:p>
    <w:p>
      <w:pPr>
        <w:pStyle w:val="BodyText"/>
        <w:spacing w:line="276" w:lineRule="auto" w:before="225"/>
        <w:ind w:left="1200" w:right="269"/>
      </w:pPr>
      <w:r>
        <w:rPr/>
        <w:t>Aged Care Inflation also consistently exceeds CPI changes by approximately 1%, reinforcing that aged</w:t>
      </w:r>
      <w:r>
        <w:rPr>
          <w:spacing w:val="-2"/>
        </w:rPr>
        <w:t> </w:t>
      </w:r>
      <w:r>
        <w:rPr/>
        <w:t>care</w:t>
      </w:r>
      <w:r>
        <w:rPr>
          <w:spacing w:val="-2"/>
        </w:rPr>
        <w:t> </w:t>
      </w:r>
      <w:r>
        <w:rPr/>
        <w:t>costs</w:t>
      </w:r>
      <w:r>
        <w:rPr>
          <w:spacing w:val="-10"/>
        </w:rPr>
        <w:t> </w:t>
      </w:r>
      <w:r>
        <w:rPr/>
        <w:t>are</w:t>
      </w:r>
      <w:r>
        <w:rPr>
          <w:spacing w:val="-2"/>
        </w:rPr>
        <w:t> </w:t>
      </w:r>
      <w:r>
        <w:rPr/>
        <w:t>subject to</w:t>
      </w:r>
      <w:r>
        <w:rPr>
          <w:spacing w:val="-6"/>
        </w:rPr>
        <w:t> </w:t>
      </w:r>
      <w:r>
        <w:rPr/>
        <w:t>pressures</w:t>
      </w:r>
      <w:r>
        <w:rPr>
          <w:spacing w:val="-10"/>
        </w:rPr>
        <w:t> </w:t>
      </w:r>
      <w:r>
        <w:rPr/>
        <w:t>beyond</w:t>
      </w:r>
      <w:r>
        <w:rPr>
          <w:spacing w:val="-2"/>
        </w:rPr>
        <w:t> </w:t>
      </w:r>
      <w:r>
        <w:rPr/>
        <w:t>general</w:t>
      </w:r>
      <w:r>
        <w:rPr>
          <w:spacing w:val="-2"/>
        </w:rPr>
        <w:t> </w:t>
      </w:r>
      <w:r>
        <w:rPr/>
        <w:t>inflation.</w:t>
      </w:r>
      <w:r>
        <w:rPr>
          <w:spacing w:val="-13"/>
        </w:rPr>
        <w:t> </w:t>
      </w:r>
      <w:r>
        <w:rPr/>
        <w:t>These</w:t>
      </w:r>
      <w:r>
        <w:rPr>
          <w:spacing w:val="-1"/>
        </w:rPr>
        <w:t> </w:t>
      </w:r>
      <w:r>
        <w:rPr/>
        <w:t>may</w:t>
      </w:r>
      <w:r>
        <w:rPr>
          <w:spacing w:val="-5"/>
        </w:rPr>
        <w:t> </w:t>
      </w:r>
      <w:r>
        <w:rPr/>
        <w:t>arise</w:t>
      </w:r>
      <w:r>
        <w:rPr>
          <w:spacing w:val="-11"/>
        </w:rPr>
        <w:t> </w:t>
      </w:r>
      <w:r>
        <w:rPr/>
        <w:t>from</w:t>
      </w:r>
      <w:r>
        <w:rPr>
          <w:spacing w:val="-1"/>
        </w:rPr>
        <w:t> </w:t>
      </w:r>
      <w:r>
        <w:rPr/>
        <w:t>the</w:t>
      </w:r>
      <w:r>
        <w:rPr>
          <w:spacing w:val="-11"/>
        </w:rPr>
        <w:t> </w:t>
      </w:r>
      <w:r>
        <w:rPr/>
        <w:t>labour- intensive nature of aged care, where worker wages constitute a significant portion of operational expenses.</w:t>
      </w:r>
      <w:r>
        <w:rPr>
          <w:spacing w:val="-1"/>
        </w:rPr>
        <w:t> </w:t>
      </w:r>
      <w:r>
        <w:rPr/>
        <w:t>As wage growth generally</w:t>
      </w:r>
      <w:r>
        <w:rPr>
          <w:spacing w:val="-3"/>
        </w:rPr>
        <w:t> </w:t>
      </w:r>
      <w:r>
        <w:rPr/>
        <w:t>follows</w:t>
      </w:r>
      <w:r>
        <w:rPr>
          <w:spacing w:val="-3"/>
        </w:rPr>
        <w:t> </w:t>
      </w:r>
      <w:r>
        <w:rPr/>
        <w:t>CPI trends</w:t>
      </w:r>
      <w:r>
        <w:rPr>
          <w:spacing w:val="-3"/>
        </w:rPr>
        <w:t> </w:t>
      </w:r>
      <w:r>
        <w:rPr/>
        <w:t>and is</w:t>
      </w:r>
      <w:r>
        <w:rPr>
          <w:spacing w:val="-3"/>
        </w:rPr>
        <w:t> </w:t>
      </w:r>
      <w:r>
        <w:rPr/>
        <w:t>already considered within aged care inflation, for liability projections, aged care inflation is the primary concern rather than wage</w:t>
      </w:r>
    </w:p>
    <w:p>
      <w:pPr>
        <w:pStyle w:val="BodyText"/>
        <w:spacing w:before="9"/>
        <w:rPr>
          <w:sz w:val="19"/>
        </w:rPr>
      </w:pPr>
      <w:r>
        <w:rPr/>
        <w:drawing>
          <wp:anchor distT="0" distB="0" distL="0" distR="0" allowOverlap="1" layoutInCell="1" locked="0" behindDoc="1" simplePos="0" relativeHeight="487590400">
            <wp:simplePos x="0" y="0"/>
            <wp:positionH relativeFrom="page">
              <wp:posOffset>924560</wp:posOffset>
            </wp:positionH>
            <wp:positionV relativeFrom="paragraph">
              <wp:posOffset>159868</wp:posOffset>
            </wp:positionV>
            <wp:extent cx="5696222" cy="3316128"/>
            <wp:effectExtent l="0" t="0" r="0" b="0"/>
            <wp:wrapTopAndBottom/>
            <wp:docPr id="26" name="Image 26" descr="A graph of different colored lines  AI-generated content may be incorrect."/>
            <wp:cNvGraphicFramePr>
              <a:graphicFrameLocks/>
            </wp:cNvGraphicFramePr>
            <a:graphic>
              <a:graphicData uri="http://schemas.openxmlformats.org/drawingml/2006/picture">
                <pic:pic>
                  <pic:nvPicPr>
                    <pic:cNvPr id="26" name="Image 26" descr="A graph of different colored lines  AI-generated content may be incorrect."/>
                    <pic:cNvPicPr/>
                  </pic:nvPicPr>
                  <pic:blipFill>
                    <a:blip r:embed="rId27" cstate="print"/>
                    <a:stretch>
                      <a:fillRect/>
                    </a:stretch>
                  </pic:blipFill>
                  <pic:spPr>
                    <a:xfrm>
                      <a:off x="0" y="0"/>
                      <a:ext cx="5696222" cy="3316128"/>
                    </a:xfrm>
                    <a:prstGeom prst="rect">
                      <a:avLst/>
                    </a:prstGeom>
                  </pic:spPr>
                </pic:pic>
              </a:graphicData>
            </a:graphic>
          </wp:anchor>
        </w:drawing>
      </w:r>
    </w:p>
    <w:p>
      <w:pPr>
        <w:pStyle w:val="BodyText"/>
        <w:spacing w:before="84"/>
        <w:ind w:left="1200"/>
      </w:pPr>
      <w:r>
        <w:rPr>
          <w:spacing w:val="-2"/>
        </w:rPr>
        <w:t>fluctuations.</w:t>
      </w:r>
    </w:p>
    <w:p>
      <w:pPr>
        <w:pStyle w:val="BodyText"/>
        <w:spacing w:before="35"/>
      </w:pPr>
    </w:p>
    <w:p>
      <w:pPr>
        <w:pStyle w:val="BodyText"/>
        <w:spacing w:line="280" w:lineRule="auto"/>
        <w:ind w:left="1200" w:right="274"/>
        <w:jc w:val="both"/>
      </w:pPr>
      <w:r>
        <w:rPr/>
        <w:t>Mortality rates</w:t>
      </w:r>
      <w:r>
        <w:rPr>
          <w:spacing w:val="-4"/>
        </w:rPr>
        <w:t> </w:t>
      </w:r>
      <w:r>
        <w:rPr/>
        <w:t>increase with age (</w:t>
      </w:r>
      <w:r>
        <w:rPr>
          <w:b/>
        </w:rPr>
        <w:t>Figure</w:t>
      </w:r>
      <w:r>
        <w:rPr>
          <w:b/>
          <w:spacing w:val="-2"/>
        </w:rPr>
        <w:t> </w:t>
      </w:r>
      <w:r>
        <w:rPr>
          <w:b/>
        </w:rPr>
        <w:t>2</w:t>
      </w:r>
      <w:r>
        <w:rPr/>
        <w:t>), with</w:t>
      </w:r>
      <w:r>
        <w:rPr>
          <w:spacing w:val="-6"/>
        </w:rPr>
        <w:t> </w:t>
      </w:r>
      <w:r>
        <w:rPr/>
        <w:t>male</w:t>
      </w:r>
      <w:r>
        <w:rPr>
          <w:spacing w:val="-11"/>
        </w:rPr>
        <w:t> </w:t>
      </w:r>
      <w:r>
        <w:rPr/>
        <w:t>mortality rates consistently higher than</w:t>
      </w:r>
      <w:r>
        <w:rPr>
          <w:spacing w:val="-7"/>
        </w:rPr>
        <w:t> </w:t>
      </w:r>
      <w:r>
        <w:rPr/>
        <w:t>female rates. The</w:t>
      </w:r>
      <w:r>
        <w:rPr>
          <w:spacing w:val="-2"/>
        </w:rPr>
        <w:t> </w:t>
      </w:r>
      <w:r>
        <w:rPr/>
        <w:t>current customer age distribution</w:t>
      </w:r>
      <w:r>
        <w:rPr>
          <w:spacing w:val="-6"/>
        </w:rPr>
        <w:t> </w:t>
      </w:r>
      <w:r>
        <w:rPr/>
        <w:t>(</w:t>
      </w:r>
      <w:r>
        <w:rPr>
          <w:b/>
        </w:rPr>
        <w:t>Figure</w:t>
      </w:r>
      <w:r>
        <w:rPr>
          <w:b/>
          <w:spacing w:val="-2"/>
        </w:rPr>
        <w:t> </w:t>
      </w:r>
      <w:r>
        <w:rPr>
          <w:b/>
        </w:rPr>
        <w:t>3</w:t>
      </w:r>
      <w:r>
        <w:rPr/>
        <w:t>)</w:t>
      </w:r>
      <w:r>
        <w:rPr>
          <w:spacing w:val="-5"/>
        </w:rPr>
        <w:t> </w:t>
      </w:r>
      <w:r>
        <w:rPr/>
        <w:t>peaks</w:t>
      </w:r>
      <w:r>
        <w:rPr>
          <w:spacing w:val="-5"/>
        </w:rPr>
        <w:t> </w:t>
      </w:r>
      <w:r>
        <w:rPr/>
        <w:t>in the</w:t>
      </w:r>
      <w:r>
        <w:rPr>
          <w:spacing w:val="-12"/>
        </w:rPr>
        <w:t> </w:t>
      </w:r>
      <w:r>
        <w:rPr/>
        <w:t>mid-60s</w:t>
      </w:r>
      <w:r>
        <w:rPr>
          <w:spacing w:val="-5"/>
        </w:rPr>
        <w:t> </w:t>
      </w:r>
      <w:r>
        <w:rPr/>
        <w:t>to</w:t>
      </w:r>
      <w:r>
        <w:rPr>
          <w:spacing w:val="-2"/>
        </w:rPr>
        <w:t> </w:t>
      </w:r>
      <w:r>
        <w:rPr/>
        <w:t>early 70s,</w:t>
      </w:r>
      <w:r>
        <w:rPr>
          <w:spacing w:val="-4"/>
        </w:rPr>
        <w:t> </w:t>
      </w:r>
      <w:r>
        <w:rPr/>
        <w:t>followed by a decline as mortality rates rise. Since new entrants must join aged care within 12 months of their</w:t>
      </w:r>
    </w:p>
    <w:p>
      <w:pPr>
        <w:spacing w:after="0" w:line="280" w:lineRule="auto"/>
        <w:jc w:val="both"/>
        <w:sectPr>
          <w:pgSz w:w="11910" w:h="16840"/>
          <w:pgMar w:header="0" w:footer="714" w:top="360" w:bottom="900" w:left="240" w:right="1240"/>
        </w:sectPr>
      </w:pPr>
    </w:p>
    <w:p>
      <w:pPr>
        <w:pStyle w:val="BodyText"/>
      </w:pPr>
    </w:p>
    <w:p>
      <w:pPr>
        <w:pStyle w:val="BodyText"/>
      </w:pPr>
    </w:p>
    <w:p>
      <w:pPr>
        <w:pStyle w:val="BodyText"/>
      </w:pPr>
    </w:p>
    <w:p>
      <w:pPr>
        <w:pStyle w:val="BodyText"/>
        <w:spacing w:before="117"/>
      </w:pPr>
    </w:p>
    <w:p>
      <w:pPr>
        <w:pStyle w:val="BodyText"/>
        <w:spacing w:line="276" w:lineRule="auto"/>
        <w:ind w:left="1200" w:right="269"/>
      </w:pPr>
      <w:r>
        <w:rPr/>
        <w:drawing>
          <wp:anchor distT="0" distB="0" distL="0" distR="0" allowOverlap="1" layoutInCell="1" locked="0" behindDoc="1" simplePos="0" relativeHeight="487147008">
            <wp:simplePos x="0" y="0"/>
            <wp:positionH relativeFrom="page">
              <wp:posOffset>227965</wp:posOffset>
            </wp:positionH>
            <wp:positionV relativeFrom="paragraph">
              <wp:posOffset>-664414</wp:posOffset>
            </wp:positionV>
            <wp:extent cx="1471930" cy="1023620"/>
            <wp:effectExtent l="0" t="0" r="0" b="0"/>
            <wp:wrapNone/>
            <wp:docPr id="27" name="Image 27"/>
            <wp:cNvGraphicFramePr>
              <a:graphicFrameLocks/>
            </wp:cNvGraphicFramePr>
            <a:graphic>
              <a:graphicData uri="http://schemas.openxmlformats.org/drawingml/2006/picture">
                <pic:pic>
                  <pic:nvPicPr>
                    <pic:cNvPr id="27" name="Image 27"/>
                    <pic:cNvPicPr/>
                  </pic:nvPicPr>
                  <pic:blipFill>
                    <a:blip r:embed="rId26" cstate="print"/>
                    <a:stretch>
                      <a:fillRect/>
                    </a:stretch>
                  </pic:blipFill>
                  <pic:spPr>
                    <a:xfrm>
                      <a:off x="0" y="0"/>
                      <a:ext cx="1471930" cy="1023620"/>
                    </a:xfrm>
                    <a:prstGeom prst="rect">
                      <a:avLst/>
                    </a:prstGeom>
                  </pic:spPr>
                </pic:pic>
              </a:graphicData>
            </a:graphic>
          </wp:anchor>
        </w:drawing>
      </w:r>
      <w:r>
        <w:rPr/>
        <w:t>60th birthday, AAG's overall customer base may become younger as older customers exit due to higher mortality, but this effect depends on sustained new customer growth, which AAG projects a steady</w:t>
      </w:r>
      <w:r>
        <w:rPr>
          <w:spacing w:val="-10"/>
        </w:rPr>
        <w:t> </w:t>
      </w:r>
      <w:r>
        <w:rPr/>
        <w:t>increase</w:t>
      </w:r>
      <w:r>
        <w:rPr>
          <w:spacing w:val="-9"/>
        </w:rPr>
        <w:t> </w:t>
      </w:r>
      <w:r>
        <w:rPr/>
        <w:t>in</w:t>
      </w:r>
      <w:r>
        <w:rPr>
          <w:spacing w:val="-9"/>
        </w:rPr>
        <w:t> </w:t>
      </w:r>
      <w:r>
        <w:rPr/>
        <w:t>(</w:t>
      </w:r>
      <w:r>
        <w:rPr>
          <w:b/>
        </w:rPr>
        <w:t>Table</w:t>
      </w:r>
      <w:r>
        <w:rPr>
          <w:b/>
          <w:spacing w:val="-13"/>
        </w:rPr>
        <w:t> </w:t>
      </w:r>
      <w:r>
        <w:rPr>
          <w:b/>
        </w:rPr>
        <w:t>1</w:t>
      </w:r>
      <w:r>
        <w:rPr/>
        <w:t>).</w:t>
      </w:r>
      <w:r>
        <w:rPr>
          <w:spacing w:val="-7"/>
        </w:rPr>
        <w:t> </w:t>
      </w:r>
      <w:r>
        <w:rPr/>
        <w:t>However,</w:t>
      </w:r>
      <w:r>
        <w:rPr>
          <w:spacing w:val="-15"/>
        </w:rPr>
        <w:t> </w:t>
      </w:r>
      <w:r>
        <w:rPr/>
        <w:t>AAG</w:t>
      </w:r>
      <w:r>
        <w:rPr>
          <w:spacing w:val="-6"/>
        </w:rPr>
        <w:t> </w:t>
      </w:r>
      <w:r>
        <w:rPr/>
        <w:t>should</w:t>
      </w:r>
      <w:r>
        <w:rPr>
          <w:spacing w:val="-9"/>
        </w:rPr>
        <w:t> </w:t>
      </w:r>
      <w:r>
        <w:rPr/>
        <w:t>consider</w:t>
      </w:r>
      <w:r>
        <w:rPr>
          <w:spacing w:val="-7"/>
        </w:rPr>
        <w:t> </w:t>
      </w:r>
      <w:r>
        <w:rPr/>
        <w:t>operational</w:t>
      </w:r>
      <w:r>
        <w:rPr>
          <w:spacing w:val="-8"/>
        </w:rPr>
        <w:t> </w:t>
      </w:r>
      <w:r>
        <w:rPr/>
        <w:t>capacity</w:t>
      </w:r>
      <w:r>
        <w:rPr>
          <w:spacing w:val="-7"/>
        </w:rPr>
        <w:t> </w:t>
      </w:r>
      <w:r>
        <w:rPr/>
        <w:t>constraints,</w:t>
      </w:r>
      <w:r>
        <w:rPr>
          <w:spacing w:val="-6"/>
        </w:rPr>
        <w:t> </w:t>
      </w:r>
      <w:r>
        <w:rPr/>
        <w:t>which could restrict customer intake and revenue growth regardless of external demand.</w:t>
      </w:r>
    </w:p>
    <w:p>
      <w:pPr>
        <w:pStyle w:val="BodyText"/>
        <w:spacing w:before="58"/>
      </w:pPr>
      <w:r>
        <w:rPr/>
        <w:drawing>
          <wp:anchor distT="0" distB="0" distL="0" distR="0" allowOverlap="1" layoutInCell="1" locked="0" behindDoc="1" simplePos="0" relativeHeight="487591424">
            <wp:simplePos x="0" y="0"/>
            <wp:positionH relativeFrom="page">
              <wp:posOffset>988694</wp:posOffset>
            </wp:positionH>
            <wp:positionV relativeFrom="paragraph">
              <wp:posOffset>198607</wp:posOffset>
            </wp:positionV>
            <wp:extent cx="5535498" cy="3457575"/>
            <wp:effectExtent l="0" t="0" r="0" b="0"/>
            <wp:wrapTopAndBottom/>
            <wp:docPr id="28" name="Image 28" descr="A graph of a person with a red line  AI-generated content may be incorrect."/>
            <wp:cNvGraphicFramePr>
              <a:graphicFrameLocks/>
            </wp:cNvGraphicFramePr>
            <a:graphic>
              <a:graphicData uri="http://schemas.openxmlformats.org/drawingml/2006/picture">
                <pic:pic>
                  <pic:nvPicPr>
                    <pic:cNvPr id="28" name="Image 28" descr="A graph of a person with a red line  AI-generated content may be incorrect."/>
                    <pic:cNvPicPr/>
                  </pic:nvPicPr>
                  <pic:blipFill>
                    <a:blip r:embed="rId28" cstate="print"/>
                    <a:stretch>
                      <a:fillRect/>
                    </a:stretch>
                  </pic:blipFill>
                  <pic:spPr>
                    <a:xfrm>
                      <a:off x="0" y="0"/>
                      <a:ext cx="5535498" cy="3457575"/>
                    </a:xfrm>
                    <a:prstGeom prst="rect">
                      <a:avLst/>
                    </a:prstGeom>
                  </pic:spPr>
                </pic:pic>
              </a:graphicData>
            </a:graphic>
          </wp:anchor>
        </w:drawing>
      </w:r>
      <w:r>
        <w:rPr/>
        <w:drawing>
          <wp:anchor distT="0" distB="0" distL="0" distR="0" allowOverlap="1" layoutInCell="1" locked="0" behindDoc="1" simplePos="0" relativeHeight="487591936">
            <wp:simplePos x="0" y="0"/>
            <wp:positionH relativeFrom="page">
              <wp:posOffset>961389</wp:posOffset>
            </wp:positionH>
            <wp:positionV relativeFrom="paragraph">
              <wp:posOffset>3882877</wp:posOffset>
            </wp:positionV>
            <wp:extent cx="5690594" cy="2971419"/>
            <wp:effectExtent l="0" t="0" r="0" b="0"/>
            <wp:wrapTopAndBottom/>
            <wp:docPr id="29" name="Image 29" descr="A graph of a customer age profile  AI-generated content may be incorrect."/>
            <wp:cNvGraphicFramePr>
              <a:graphicFrameLocks/>
            </wp:cNvGraphicFramePr>
            <a:graphic>
              <a:graphicData uri="http://schemas.openxmlformats.org/drawingml/2006/picture">
                <pic:pic>
                  <pic:nvPicPr>
                    <pic:cNvPr id="29" name="Image 29" descr="A graph of a customer age profile  AI-generated content may be incorrect."/>
                    <pic:cNvPicPr/>
                  </pic:nvPicPr>
                  <pic:blipFill>
                    <a:blip r:embed="rId29" cstate="print"/>
                    <a:stretch>
                      <a:fillRect/>
                    </a:stretch>
                  </pic:blipFill>
                  <pic:spPr>
                    <a:xfrm>
                      <a:off x="0" y="0"/>
                      <a:ext cx="5690594" cy="2971419"/>
                    </a:xfrm>
                    <a:prstGeom prst="rect">
                      <a:avLst/>
                    </a:prstGeom>
                  </pic:spPr>
                </pic:pic>
              </a:graphicData>
            </a:graphic>
          </wp:anchor>
        </w:drawing>
      </w:r>
    </w:p>
    <w:p>
      <w:pPr>
        <w:pStyle w:val="BodyText"/>
        <w:spacing w:before="103"/>
      </w:pPr>
    </w:p>
    <w:p>
      <w:pPr>
        <w:pStyle w:val="BodyText"/>
      </w:pPr>
    </w:p>
    <w:p>
      <w:pPr>
        <w:pStyle w:val="BodyText"/>
        <w:spacing w:before="172"/>
      </w:pPr>
      <w:r>
        <w:rPr/>
        <w:drawing>
          <wp:anchor distT="0" distB="0" distL="0" distR="0" allowOverlap="1" layoutInCell="1" locked="0" behindDoc="1" simplePos="0" relativeHeight="487592448">
            <wp:simplePos x="0" y="0"/>
            <wp:positionH relativeFrom="page">
              <wp:posOffset>1483360</wp:posOffset>
            </wp:positionH>
            <wp:positionV relativeFrom="paragraph">
              <wp:posOffset>270497</wp:posOffset>
            </wp:positionV>
            <wp:extent cx="4482747" cy="609219"/>
            <wp:effectExtent l="0" t="0" r="0" b="0"/>
            <wp:wrapTopAndBottom/>
            <wp:docPr id="30" name="Image 30" descr="A blue and white rectangular sign with numbers  AI-generated content may be incorrect."/>
            <wp:cNvGraphicFramePr>
              <a:graphicFrameLocks/>
            </wp:cNvGraphicFramePr>
            <a:graphic>
              <a:graphicData uri="http://schemas.openxmlformats.org/drawingml/2006/picture">
                <pic:pic>
                  <pic:nvPicPr>
                    <pic:cNvPr id="30" name="Image 30" descr="A blue and white rectangular sign with numbers  AI-generated content may be incorrect."/>
                    <pic:cNvPicPr/>
                  </pic:nvPicPr>
                  <pic:blipFill>
                    <a:blip r:embed="rId30" cstate="print"/>
                    <a:stretch>
                      <a:fillRect/>
                    </a:stretch>
                  </pic:blipFill>
                  <pic:spPr>
                    <a:xfrm>
                      <a:off x="0" y="0"/>
                      <a:ext cx="4482747" cy="609219"/>
                    </a:xfrm>
                    <a:prstGeom prst="rect">
                      <a:avLst/>
                    </a:prstGeom>
                  </pic:spPr>
                </pic:pic>
              </a:graphicData>
            </a:graphic>
          </wp:anchor>
        </w:drawing>
      </w:r>
    </w:p>
    <w:p>
      <w:pPr>
        <w:spacing w:after="0"/>
        <w:sectPr>
          <w:pgSz w:w="11910" w:h="16840"/>
          <w:pgMar w:header="0" w:footer="714" w:top="360" w:bottom="900" w:left="240" w:right="1240"/>
        </w:sectPr>
      </w:pPr>
    </w:p>
    <w:p>
      <w:pPr>
        <w:pStyle w:val="BodyText"/>
        <w:rPr>
          <w:sz w:val="28"/>
        </w:rPr>
      </w:pPr>
    </w:p>
    <w:p>
      <w:pPr>
        <w:pStyle w:val="BodyText"/>
        <w:rPr>
          <w:sz w:val="28"/>
        </w:rPr>
      </w:pPr>
    </w:p>
    <w:p>
      <w:pPr>
        <w:pStyle w:val="BodyText"/>
        <w:spacing w:before="59"/>
        <w:rPr>
          <w:sz w:val="28"/>
        </w:rPr>
      </w:pPr>
    </w:p>
    <w:p>
      <w:pPr>
        <w:pStyle w:val="Heading2"/>
      </w:pPr>
      <w:r>
        <w:rPr/>
        <w:drawing>
          <wp:anchor distT="0" distB="0" distL="0" distR="0" allowOverlap="1" layoutInCell="1" locked="0" behindDoc="1" simplePos="0" relativeHeight="487148544">
            <wp:simplePos x="0" y="0"/>
            <wp:positionH relativeFrom="page">
              <wp:posOffset>227965</wp:posOffset>
            </wp:positionH>
            <wp:positionV relativeFrom="paragraph">
              <wp:posOffset>-656791</wp:posOffset>
            </wp:positionV>
            <wp:extent cx="1471930" cy="1023620"/>
            <wp:effectExtent l="0" t="0" r="0" b="0"/>
            <wp:wrapNone/>
            <wp:docPr id="31" name="Image 31"/>
            <wp:cNvGraphicFramePr>
              <a:graphicFrameLocks/>
            </wp:cNvGraphicFramePr>
            <a:graphic>
              <a:graphicData uri="http://schemas.openxmlformats.org/drawingml/2006/picture">
                <pic:pic>
                  <pic:nvPicPr>
                    <pic:cNvPr id="31" name="Image 31"/>
                    <pic:cNvPicPr/>
                  </pic:nvPicPr>
                  <pic:blipFill>
                    <a:blip r:embed="rId26" cstate="print"/>
                    <a:stretch>
                      <a:fillRect/>
                    </a:stretch>
                  </pic:blipFill>
                  <pic:spPr>
                    <a:xfrm>
                      <a:off x="0" y="0"/>
                      <a:ext cx="1471930" cy="1023620"/>
                    </a:xfrm>
                    <a:prstGeom prst="rect">
                      <a:avLst/>
                    </a:prstGeom>
                  </pic:spPr>
                </pic:pic>
              </a:graphicData>
            </a:graphic>
          </wp:anchor>
        </w:drawing>
      </w:r>
      <w:bookmarkStart w:name="Asset Portfolio Historical Performance" w:id="5"/>
      <w:bookmarkEnd w:id="5"/>
      <w:r>
        <w:rPr>
          <w:b w:val="0"/>
        </w:rPr>
      </w:r>
      <w:r>
        <w:rPr>
          <w:color w:val="0D465F"/>
          <w:spacing w:val="-2"/>
        </w:rPr>
        <w:t>Asset</w:t>
      </w:r>
      <w:r>
        <w:rPr>
          <w:color w:val="0D465F"/>
          <w:spacing w:val="-6"/>
        </w:rPr>
        <w:t> </w:t>
      </w:r>
      <w:r>
        <w:rPr>
          <w:color w:val="0D465F"/>
          <w:spacing w:val="-2"/>
        </w:rPr>
        <w:t>Portfolio</w:t>
      </w:r>
      <w:r>
        <w:rPr>
          <w:color w:val="0D465F"/>
          <w:spacing w:val="-5"/>
        </w:rPr>
        <w:t> </w:t>
      </w:r>
      <w:r>
        <w:rPr>
          <w:color w:val="0D465F"/>
          <w:spacing w:val="-2"/>
        </w:rPr>
        <w:t>Historical</w:t>
      </w:r>
      <w:r>
        <w:rPr>
          <w:color w:val="0D465F"/>
          <w:spacing w:val="-3"/>
        </w:rPr>
        <w:t> </w:t>
      </w:r>
      <w:r>
        <w:rPr>
          <w:color w:val="0D465F"/>
          <w:spacing w:val="-2"/>
        </w:rPr>
        <w:t>Performance</w:t>
      </w:r>
    </w:p>
    <w:p>
      <w:pPr>
        <w:pStyle w:val="BodyText"/>
        <w:spacing w:line="278" w:lineRule="auto" w:before="218"/>
        <w:ind w:left="1200" w:right="178"/>
      </w:pPr>
      <w:r>
        <w:rPr/>
        <w:t>Looking</w:t>
      </w:r>
      <w:r>
        <w:rPr>
          <w:spacing w:val="-7"/>
        </w:rPr>
        <w:t> </w:t>
      </w:r>
      <w:r>
        <w:rPr/>
        <w:t>at</w:t>
      </w:r>
      <w:r>
        <w:rPr>
          <w:spacing w:val="-9"/>
        </w:rPr>
        <w:t> </w:t>
      </w:r>
      <w:r>
        <w:rPr>
          <w:b/>
        </w:rPr>
        <w:t>Table</w:t>
      </w:r>
      <w:r>
        <w:rPr>
          <w:b/>
          <w:spacing w:val="-6"/>
        </w:rPr>
        <w:t> </w:t>
      </w:r>
      <w:r>
        <w:rPr>
          <w:b/>
        </w:rPr>
        <w:t>2</w:t>
      </w:r>
      <w:r>
        <w:rPr/>
        <w:t>,</w:t>
      </w:r>
      <w:r>
        <w:rPr>
          <w:spacing w:val="-9"/>
        </w:rPr>
        <w:t> </w:t>
      </w:r>
      <w:r>
        <w:rPr/>
        <w:t>short-term investment</w:t>
      </w:r>
      <w:r>
        <w:rPr>
          <w:spacing w:val="-4"/>
        </w:rPr>
        <w:t> </w:t>
      </w:r>
      <w:r>
        <w:rPr/>
        <w:t>horizons</w:t>
      </w:r>
      <w:r>
        <w:rPr>
          <w:spacing w:val="-9"/>
        </w:rPr>
        <w:t> </w:t>
      </w:r>
      <w:r>
        <w:rPr/>
        <w:t>(&lt;</w:t>
      </w:r>
      <w:r>
        <w:rPr>
          <w:spacing w:val="-3"/>
        </w:rPr>
        <w:t> </w:t>
      </w:r>
      <w:r>
        <w:rPr/>
        <w:t>5</w:t>
      </w:r>
      <w:r>
        <w:rPr>
          <w:spacing w:val="-12"/>
        </w:rPr>
        <w:t> </w:t>
      </w:r>
      <w:r>
        <w:rPr/>
        <w:t>years) have</w:t>
      </w:r>
      <w:r>
        <w:rPr>
          <w:spacing w:val="-7"/>
        </w:rPr>
        <w:t> </w:t>
      </w:r>
      <w:r>
        <w:rPr/>
        <w:t>government bonds</w:t>
      </w:r>
      <w:r>
        <w:rPr>
          <w:spacing w:val="-10"/>
        </w:rPr>
        <w:t> </w:t>
      </w:r>
      <w:r>
        <w:rPr/>
        <w:t>and</w:t>
      </w:r>
      <w:r>
        <w:rPr>
          <w:spacing w:val="-7"/>
        </w:rPr>
        <w:t> </w:t>
      </w:r>
      <w:r>
        <w:rPr/>
        <w:t>bank</w:t>
      </w:r>
      <w:r>
        <w:rPr>
          <w:spacing w:val="-1"/>
        </w:rPr>
        <w:t> </w:t>
      </w:r>
      <w:r>
        <w:rPr/>
        <w:t>bills that provide moderate returns with low volatility, whereas equities are highly volatile with negative or low returns. For long-term investment horizons (10-20 years), bonds become more stable while outperforming bank bills, and equities deliver higher but more volatile returns. At 10 years, bond returns exceed bank bills despite similar volatility, and at 20 years, bank bills offer lower returns than bonds despite becoming riskier, highlighting bonds' relative stability and the reinvestment risk bank</w:t>
      </w:r>
    </w:p>
    <w:p>
      <w:pPr>
        <w:pStyle w:val="BodyText"/>
        <w:spacing w:before="2"/>
      </w:pPr>
      <w:r>
        <w:rPr/>
        <w:drawing>
          <wp:anchor distT="0" distB="0" distL="0" distR="0" allowOverlap="1" layoutInCell="1" locked="0" behindDoc="1" simplePos="0" relativeHeight="487593472">
            <wp:simplePos x="0" y="0"/>
            <wp:positionH relativeFrom="page">
              <wp:posOffset>958850</wp:posOffset>
            </wp:positionH>
            <wp:positionV relativeFrom="paragraph">
              <wp:posOffset>162588</wp:posOffset>
            </wp:positionV>
            <wp:extent cx="5642191" cy="1893855"/>
            <wp:effectExtent l="0" t="0" r="0" b="0"/>
            <wp:wrapTopAndBottom/>
            <wp:docPr id="32" name="Image 32" descr="A table with numbers and text  AI-generated content may be incorrect."/>
            <wp:cNvGraphicFramePr>
              <a:graphicFrameLocks/>
            </wp:cNvGraphicFramePr>
            <a:graphic>
              <a:graphicData uri="http://schemas.openxmlformats.org/drawingml/2006/picture">
                <pic:pic>
                  <pic:nvPicPr>
                    <pic:cNvPr id="32" name="Image 32" descr="A table with numbers and text  AI-generated content may be incorrect."/>
                    <pic:cNvPicPr/>
                  </pic:nvPicPr>
                  <pic:blipFill>
                    <a:blip r:embed="rId31" cstate="print"/>
                    <a:stretch>
                      <a:fillRect/>
                    </a:stretch>
                  </pic:blipFill>
                  <pic:spPr>
                    <a:xfrm>
                      <a:off x="0" y="0"/>
                      <a:ext cx="5642191" cy="1893855"/>
                    </a:xfrm>
                    <a:prstGeom prst="rect">
                      <a:avLst/>
                    </a:prstGeom>
                  </pic:spPr>
                </pic:pic>
              </a:graphicData>
            </a:graphic>
          </wp:anchor>
        </w:drawing>
      </w:r>
    </w:p>
    <w:p>
      <w:pPr>
        <w:pStyle w:val="BodyText"/>
        <w:spacing w:before="97"/>
        <w:ind w:left="1200"/>
      </w:pPr>
      <w:r>
        <w:rPr/>
        <w:t>bills</w:t>
      </w:r>
      <w:r>
        <w:rPr>
          <w:spacing w:val="-17"/>
        </w:rPr>
        <w:t> </w:t>
      </w:r>
      <w:r>
        <w:rPr>
          <w:spacing w:val="-2"/>
        </w:rPr>
        <w:t>face.</w:t>
      </w:r>
    </w:p>
    <w:p>
      <w:pPr>
        <w:pStyle w:val="BodyText"/>
        <w:spacing w:before="35"/>
      </w:pPr>
    </w:p>
    <w:p>
      <w:pPr>
        <w:pStyle w:val="BodyText"/>
        <w:spacing w:line="280" w:lineRule="auto"/>
        <w:ind w:left="1200" w:right="269"/>
      </w:pPr>
      <w:r>
        <w:rPr/>
        <w:t>The</w:t>
      </w:r>
      <w:r>
        <w:rPr>
          <w:spacing w:val="-4"/>
        </w:rPr>
        <w:t> </w:t>
      </w:r>
      <w:r>
        <w:rPr/>
        <w:t>historical</w:t>
      </w:r>
      <w:r>
        <w:rPr>
          <w:spacing w:val="-3"/>
        </w:rPr>
        <w:t> </w:t>
      </w:r>
      <w:r>
        <w:rPr/>
        <w:t>yields</w:t>
      </w:r>
      <w:r>
        <w:rPr>
          <w:spacing w:val="-10"/>
        </w:rPr>
        <w:t> </w:t>
      </w:r>
      <w:r>
        <w:rPr/>
        <w:t>(</w:t>
      </w:r>
      <w:r>
        <w:rPr>
          <w:b/>
        </w:rPr>
        <w:t>Figure</w:t>
      </w:r>
      <w:r>
        <w:rPr>
          <w:b/>
          <w:spacing w:val="-4"/>
        </w:rPr>
        <w:t> </w:t>
      </w:r>
      <w:r>
        <w:rPr>
          <w:b/>
        </w:rPr>
        <w:t>4</w:t>
      </w:r>
      <w:r>
        <w:rPr/>
        <w:t>)</w:t>
      </w:r>
      <w:r>
        <w:rPr>
          <w:spacing w:val="-6"/>
        </w:rPr>
        <w:t> </w:t>
      </w:r>
      <w:r>
        <w:rPr/>
        <w:t>also</w:t>
      </w:r>
      <w:r>
        <w:rPr>
          <w:spacing w:val="-4"/>
        </w:rPr>
        <w:t> </w:t>
      </w:r>
      <w:r>
        <w:rPr/>
        <w:t>show</w:t>
      </w:r>
      <w:r>
        <w:rPr>
          <w:spacing w:val="-13"/>
        </w:rPr>
        <w:t> </w:t>
      </w:r>
      <w:r>
        <w:rPr/>
        <w:t>that</w:t>
      </w:r>
      <w:r>
        <w:rPr>
          <w:spacing w:val="-1"/>
        </w:rPr>
        <w:t> </w:t>
      </w:r>
      <w:r>
        <w:rPr/>
        <w:t>since</w:t>
      </w:r>
      <w:r>
        <w:rPr>
          <w:spacing w:val="-3"/>
        </w:rPr>
        <w:t> </w:t>
      </w:r>
      <w:r>
        <w:rPr/>
        <w:t>2012,</w:t>
      </w:r>
      <w:r>
        <w:rPr>
          <w:spacing w:val="-1"/>
        </w:rPr>
        <w:t> </w:t>
      </w:r>
      <w:r>
        <w:rPr/>
        <w:t>government</w:t>
      </w:r>
      <w:r>
        <w:rPr>
          <w:spacing w:val="-1"/>
        </w:rPr>
        <w:t> </w:t>
      </w:r>
      <w:r>
        <w:rPr/>
        <w:t>bond</w:t>
      </w:r>
      <w:r>
        <w:rPr>
          <w:spacing w:val="-3"/>
        </w:rPr>
        <w:t> </w:t>
      </w:r>
      <w:r>
        <w:rPr/>
        <w:t>yields</w:t>
      </w:r>
      <w:r>
        <w:rPr>
          <w:spacing w:val="-11"/>
        </w:rPr>
        <w:t> </w:t>
      </w:r>
      <w:r>
        <w:rPr/>
        <w:t>have</w:t>
      </w:r>
      <w:r>
        <w:rPr>
          <w:spacing w:val="-12"/>
        </w:rPr>
        <w:t> </w:t>
      </w:r>
      <w:r>
        <w:rPr/>
        <w:t>consistently performed better than bank bills, displaying a stable return for medium-term investments. The bank bills exhibit similar yield movements over the period, with the 90-day bank bill's volatile movement</w:t>
      </w:r>
    </w:p>
    <w:p>
      <w:pPr>
        <w:pStyle w:val="BodyText"/>
        <w:rPr>
          <w:sz w:val="14"/>
        </w:rPr>
      </w:pPr>
      <w:r>
        <w:rPr/>
        <w:drawing>
          <wp:anchor distT="0" distB="0" distL="0" distR="0" allowOverlap="1" layoutInCell="1" locked="0" behindDoc="1" simplePos="0" relativeHeight="487593984">
            <wp:simplePos x="0" y="0"/>
            <wp:positionH relativeFrom="page">
              <wp:posOffset>1192530</wp:posOffset>
            </wp:positionH>
            <wp:positionV relativeFrom="paragraph">
              <wp:posOffset>117702</wp:posOffset>
            </wp:positionV>
            <wp:extent cx="5117914" cy="2770251"/>
            <wp:effectExtent l="0" t="0" r="0" b="0"/>
            <wp:wrapTopAndBottom/>
            <wp:docPr id="33" name="Image 33" descr="A graph of a graph showing the value of the stock market  AI-generated content may be incorrect."/>
            <wp:cNvGraphicFramePr>
              <a:graphicFrameLocks/>
            </wp:cNvGraphicFramePr>
            <a:graphic>
              <a:graphicData uri="http://schemas.openxmlformats.org/drawingml/2006/picture">
                <pic:pic>
                  <pic:nvPicPr>
                    <pic:cNvPr id="33" name="Image 33" descr="A graph of a graph showing the value of the stock market  AI-generated content may be incorrect."/>
                    <pic:cNvPicPr/>
                  </pic:nvPicPr>
                  <pic:blipFill>
                    <a:blip r:embed="rId32" cstate="print"/>
                    <a:stretch>
                      <a:fillRect/>
                    </a:stretch>
                  </pic:blipFill>
                  <pic:spPr>
                    <a:xfrm>
                      <a:off x="0" y="0"/>
                      <a:ext cx="5117914" cy="2770251"/>
                    </a:xfrm>
                    <a:prstGeom prst="rect">
                      <a:avLst/>
                    </a:prstGeom>
                  </pic:spPr>
                </pic:pic>
              </a:graphicData>
            </a:graphic>
          </wp:anchor>
        </w:drawing>
      </w:r>
    </w:p>
    <w:p>
      <w:pPr>
        <w:pStyle w:val="BodyText"/>
        <w:spacing w:before="51"/>
      </w:pPr>
    </w:p>
    <w:p>
      <w:pPr>
        <w:pStyle w:val="BodyText"/>
        <w:spacing w:before="1"/>
        <w:ind w:left="1200"/>
      </w:pPr>
      <w:r>
        <w:rPr/>
        <w:t>before</w:t>
      </w:r>
      <w:r>
        <w:rPr>
          <w:spacing w:val="-14"/>
        </w:rPr>
        <w:t> </w:t>
      </w:r>
      <w:r>
        <w:rPr/>
        <w:t>2012</w:t>
      </w:r>
      <w:r>
        <w:rPr>
          <w:spacing w:val="-14"/>
        </w:rPr>
        <w:t> </w:t>
      </w:r>
      <w:r>
        <w:rPr/>
        <w:t>reflecting</w:t>
      </w:r>
      <w:r>
        <w:rPr>
          <w:spacing w:val="-13"/>
        </w:rPr>
        <w:t> </w:t>
      </w:r>
      <w:r>
        <w:rPr/>
        <w:t>bank</w:t>
      </w:r>
      <w:r>
        <w:rPr>
          <w:spacing w:val="-14"/>
        </w:rPr>
        <w:t> </w:t>
      </w:r>
      <w:r>
        <w:rPr/>
        <w:t>bills'</w:t>
      </w:r>
      <w:r>
        <w:rPr>
          <w:spacing w:val="-8"/>
        </w:rPr>
        <w:t> </w:t>
      </w:r>
      <w:r>
        <w:rPr/>
        <w:t>sensitivity</w:t>
      </w:r>
      <w:r>
        <w:rPr>
          <w:spacing w:val="-13"/>
        </w:rPr>
        <w:t> </w:t>
      </w:r>
      <w:r>
        <w:rPr/>
        <w:t>to</w:t>
      </w:r>
      <w:r>
        <w:rPr>
          <w:spacing w:val="-14"/>
        </w:rPr>
        <w:t> </w:t>
      </w:r>
      <w:r>
        <w:rPr/>
        <w:t>market</w:t>
      </w:r>
      <w:r>
        <w:rPr>
          <w:spacing w:val="-11"/>
        </w:rPr>
        <w:t> </w:t>
      </w:r>
      <w:r>
        <w:rPr>
          <w:spacing w:val="-2"/>
        </w:rPr>
        <w:t>conditions.</w:t>
      </w:r>
    </w:p>
    <w:p>
      <w:pPr>
        <w:pStyle w:val="BodyText"/>
        <w:spacing w:before="39"/>
      </w:pPr>
    </w:p>
    <w:p>
      <w:pPr>
        <w:pStyle w:val="BodyText"/>
        <w:spacing w:line="278" w:lineRule="auto"/>
        <w:ind w:left="1200" w:right="290"/>
      </w:pPr>
      <w:r>
        <w:rPr/>
        <w:t>Equities benefit from steady dividend growth and reinvestment compounding in the long run and remain</w:t>
      </w:r>
      <w:r>
        <w:rPr>
          <w:spacing w:val="-11"/>
        </w:rPr>
        <w:t> </w:t>
      </w:r>
      <w:r>
        <w:rPr/>
        <w:t>the</w:t>
      </w:r>
      <w:r>
        <w:rPr>
          <w:spacing w:val="-3"/>
        </w:rPr>
        <w:t> </w:t>
      </w:r>
      <w:r>
        <w:rPr/>
        <w:t>highest-returning</w:t>
      </w:r>
      <w:r>
        <w:rPr>
          <w:spacing w:val="-3"/>
        </w:rPr>
        <w:t> </w:t>
      </w:r>
      <w:r>
        <w:rPr/>
        <w:t>asset class. </w:t>
      </w:r>
      <w:r>
        <w:rPr>
          <w:b/>
        </w:rPr>
        <w:t>Figure</w:t>
      </w:r>
      <w:r>
        <w:rPr>
          <w:b/>
          <w:spacing w:val="-6"/>
        </w:rPr>
        <w:t> </w:t>
      </w:r>
      <w:r>
        <w:rPr>
          <w:b/>
        </w:rPr>
        <w:t>5</w:t>
      </w:r>
      <w:r>
        <w:rPr>
          <w:b/>
          <w:spacing w:val="-12"/>
        </w:rPr>
        <w:t> </w:t>
      </w:r>
      <w:r>
        <w:rPr/>
        <w:t>illustrates</w:t>
      </w:r>
      <w:r>
        <w:rPr>
          <w:spacing w:val="-9"/>
        </w:rPr>
        <w:t> </w:t>
      </w:r>
      <w:r>
        <w:rPr/>
        <w:t>how</w:t>
      </w:r>
      <w:r>
        <w:rPr>
          <w:spacing w:val="-11"/>
        </w:rPr>
        <w:t> </w:t>
      </w:r>
      <w:r>
        <w:rPr/>
        <w:t>the</w:t>
      </w:r>
      <w:r>
        <w:rPr>
          <w:spacing w:val="-3"/>
        </w:rPr>
        <w:t> </w:t>
      </w:r>
      <w:r>
        <w:rPr/>
        <w:t>accumulation</w:t>
      </w:r>
      <w:r>
        <w:rPr>
          <w:spacing w:val="-11"/>
        </w:rPr>
        <w:t> </w:t>
      </w:r>
      <w:r>
        <w:rPr/>
        <w:t>index</w:t>
      </w:r>
      <w:r>
        <w:rPr>
          <w:spacing w:val="-2"/>
        </w:rPr>
        <w:t> </w:t>
      </w:r>
      <w:r>
        <w:rPr/>
        <w:t>outperforms the price index, highlighting the significance of dividend reinvestment. The inverse relationship between the P/E ratio and dividend yield (</w:t>
      </w:r>
      <w:r>
        <w:rPr>
          <w:b/>
        </w:rPr>
        <w:t>Figure 6</w:t>
      </w:r>
      <w:r>
        <w:rPr/>
        <w:t>) also suggests that dividend-paying equities provide stable income despite price fluctuations, making them</w:t>
      </w:r>
      <w:r>
        <w:rPr>
          <w:spacing w:val="22"/>
        </w:rPr>
        <w:t> </w:t>
      </w:r>
      <w:r>
        <w:rPr/>
        <w:t>suitable for long-term liability</w:t>
      </w:r>
      <w:r>
        <w:rPr>
          <w:spacing w:val="40"/>
        </w:rPr>
        <w:t> </w:t>
      </w:r>
      <w:r>
        <w:rPr>
          <w:spacing w:val="-2"/>
        </w:rPr>
        <w:t>matching.</w:t>
      </w:r>
    </w:p>
    <w:p>
      <w:pPr>
        <w:spacing w:after="0" w:line="278" w:lineRule="auto"/>
        <w:sectPr>
          <w:pgSz w:w="11910" w:h="16840"/>
          <w:pgMar w:header="0" w:footer="714" w:top="360" w:bottom="900" w:left="240" w:right="1240"/>
        </w:sectPr>
      </w:pPr>
    </w:p>
    <w:p>
      <w:pPr>
        <w:pStyle w:val="BodyText"/>
        <w:ind w:left="119"/>
      </w:pPr>
      <w:r>
        <w:rPr/>
        <mc:AlternateContent>
          <mc:Choice Requires="wps">
            <w:drawing>
              <wp:inline distT="0" distB="0" distL="0" distR="0">
                <wp:extent cx="6409055" cy="4086225"/>
                <wp:effectExtent l="0" t="0" r="0" b="0"/>
                <wp:docPr id="34" name="Group 34"/>
                <wp:cNvGraphicFramePr>
                  <a:graphicFrameLocks/>
                </wp:cNvGraphicFramePr>
                <a:graphic>
                  <a:graphicData uri="http://schemas.microsoft.com/office/word/2010/wordprocessingGroup">
                    <wpg:wgp>
                      <wpg:cNvPr id="34" name="Group 34"/>
                      <wpg:cNvGrpSpPr/>
                      <wpg:grpSpPr>
                        <a:xfrm>
                          <a:off x="0" y="0"/>
                          <a:ext cx="6409055" cy="4086225"/>
                          <a:chExt cx="6409055" cy="4086225"/>
                        </a:xfrm>
                      </wpg:grpSpPr>
                      <pic:pic>
                        <pic:nvPicPr>
                          <pic:cNvPr id="35" name="Image 35"/>
                          <pic:cNvPicPr/>
                        </pic:nvPicPr>
                        <pic:blipFill>
                          <a:blip r:embed="rId26" cstate="print"/>
                          <a:stretch>
                            <a:fillRect/>
                          </a:stretch>
                        </pic:blipFill>
                        <pic:spPr>
                          <a:xfrm>
                            <a:off x="0" y="0"/>
                            <a:ext cx="1471930" cy="1023620"/>
                          </a:xfrm>
                          <a:prstGeom prst="rect">
                            <a:avLst/>
                          </a:prstGeom>
                        </pic:spPr>
                      </pic:pic>
                      <pic:pic>
                        <pic:nvPicPr>
                          <pic:cNvPr id="36" name="Image 36" descr="A graph of a stock market  AI-generated content may be incorrect."/>
                          <pic:cNvPicPr/>
                        </pic:nvPicPr>
                        <pic:blipFill>
                          <a:blip r:embed="rId33" cstate="print"/>
                          <a:stretch>
                            <a:fillRect/>
                          </a:stretch>
                        </pic:blipFill>
                        <pic:spPr>
                          <a:xfrm>
                            <a:off x="683298" y="799337"/>
                            <a:ext cx="5725160" cy="3286760"/>
                          </a:xfrm>
                          <a:prstGeom prst="rect">
                            <a:avLst/>
                          </a:prstGeom>
                        </pic:spPr>
                      </pic:pic>
                    </wpg:wgp>
                  </a:graphicData>
                </a:graphic>
              </wp:inline>
            </w:drawing>
          </mc:Choice>
          <mc:Fallback>
            <w:pict>
              <v:group style="width:504.65pt;height:321.75pt;mso-position-horizontal-relative:char;mso-position-vertical-relative:line" id="docshapegroup5" coordorigin="0,0" coordsize="10093,6435">
                <v:shape style="position:absolute;left:0;top:0;width:2318;height:1612" type="#_x0000_t75" id="docshape6" stroked="false">
                  <v:imagedata r:id="rId26" o:title=""/>
                </v:shape>
                <v:shape style="position:absolute;left:1076;top:1258;width:9016;height:5176" type="#_x0000_t75" id="docshape7" alt="A graph of a stock market  AI-generated content may be incorrect." stroked="false">
                  <v:imagedata r:id="rId33" o:title=""/>
                </v:shape>
              </v:group>
            </w:pict>
          </mc:Fallback>
        </mc:AlternateContent>
      </w:r>
      <w:r>
        <w:rPr/>
      </w:r>
    </w:p>
    <w:p>
      <w:pPr>
        <w:pStyle w:val="BodyText"/>
        <w:spacing w:before="123"/>
      </w:pPr>
      <w:r>
        <w:rPr/>
        <w:drawing>
          <wp:anchor distT="0" distB="0" distL="0" distR="0" allowOverlap="1" layoutInCell="1" locked="0" behindDoc="1" simplePos="0" relativeHeight="487595520">
            <wp:simplePos x="0" y="0"/>
            <wp:positionH relativeFrom="page">
              <wp:posOffset>979805</wp:posOffset>
            </wp:positionH>
            <wp:positionV relativeFrom="paragraph">
              <wp:posOffset>239395</wp:posOffset>
            </wp:positionV>
            <wp:extent cx="5367122" cy="2969418"/>
            <wp:effectExtent l="0" t="0" r="0" b="0"/>
            <wp:wrapTopAndBottom/>
            <wp:docPr id="37" name="Image 37" descr="A graph of blue and orange lines  AI-generated content may be incorrect."/>
            <wp:cNvGraphicFramePr>
              <a:graphicFrameLocks/>
            </wp:cNvGraphicFramePr>
            <a:graphic>
              <a:graphicData uri="http://schemas.openxmlformats.org/drawingml/2006/picture">
                <pic:pic>
                  <pic:nvPicPr>
                    <pic:cNvPr id="37" name="Image 37" descr="A graph of blue and orange lines  AI-generated content may be incorrect."/>
                    <pic:cNvPicPr/>
                  </pic:nvPicPr>
                  <pic:blipFill>
                    <a:blip r:embed="rId34" cstate="print"/>
                    <a:stretch>
                      <a:fillRect/>
                    </a:stretch>
                  </pic:blipFill>
                  <pic:spPr>
                    <a:xfrm>
                      <a:off x="0" y="0"/>
                      <a:ext cx="5367122" cy="2969418"/>
                    </a:xfrm>
                    <a:prstGeom prst="rect">
                      <a:avLst/>
                    </a:prstGeom>
                  </pic:spPr>
                </pic:pic>
              </a:graphicData>
            </a:graphic>
          </wp:anchor>
        </w:drawing>
      </w:r>
    </w:p>
    <w:p>
      <w:pPr>
        <w:spacing w:after="0"/>
        <w:sectPr>
          <w:pgSz w:w="11910" w:h="16840"/>
          <w:pgMar w:header="0" w:footer="714" w:top="340" w:bottom="900" w:left="240" w:right="1240"/>
        </w:sectPr>
      </w:pPr>
    </w:p>
    <w:p>
      <w:pPr>
        <w:pStyle w:val="BodyText"/>
        <w:rPr>
          <w:sz w:val="32"/>
        </w:rPr>
      </w:pPr>
    </w:p>
    <w:p>
      <w:pPr>
        <w:pStyle w:val="BodyText"/>
        <w:spacing w:before="285"/>
        <w:rPr>
          <w:sz w:val="32"/>
        </w:rPr>
      </w:pPr>
    </w:p>
    <w:p>
      <w:pPr>
        <w:pStyle w:val="Heading1"/>
        <w:ind w:left="2448"/>
      </w:pPr>
      <w:r>
        <w:rPr/>
        <mc:AlternateContent>
          <mc:Choice Requires="wps">
            <w:drawing>
              <wp:anchor distT="0" distB="0" distL="0" distR="0" allowOverlap="1" layoutInCell="1" locked="0" behindDoc="0" simplePos="0" relativeHeight="15736832">
                <wp:simplePos x="0" y="0"/>
                <wp:positionH relativeFrom="page">
                  <wp:posOffset>227965</wp:posOffset>
                </wp:positionH>
                <wp:positionV relativeFrom="paragraph">
                  <wp:posOffset>-654264</wp:posOffset>
                </wp:positionV>
                <wp:extent cx="1471930" cy="1022985"/>
                <wp:effectExtent l="0" t="0" r="0" b="0"/>
                <wp:wrapNone/>
                <wp:docPr id="38" name="Group 38"/>
                <wp:cNvGraphicFramePr>
                  <a:graphicFrameLocks/>
                </wp:cNvGraphicFramePr>
                <a:graphic>
                  <a:graphicData uri="http://schemas.microsoft.com/office/word/2010/wordprocessingGroup">
                    <wpg:wgp>
                      <wpg:cNvPr id="38" name="Group 38"/>
                      <wpg:cNvGrpSpPr/>
                      <wpg:grpSpPr>
                        <a:xfrm>
                          <a:off x="0" y="0"/>
                          <a:ext cx="1471930" cy="1022985"/>
                          <a:chExt cx="1471930" cy="1022985"/>
                        </a:xfrm>
                      </wpg:grpSpPr>
                      <pic:pic>
                        <pic:nvPicPr>
                          <pic:cNvPr id="39" name="Image 39"/>
                          <pic:cNvPicPr/>
                        </pic:nvPicPr>
                        <pic:blipFill>
                          <a:blip r:embed="rId26" cstate="print"/>
                          <a:stretch>
                            <a:fillRect/>
                          </a:stretch>
                        </pic:blipFill>
                        <pic:spPr>
                          <a:xfrm>
                            <a:off x="0" y="0"/>
                            <a:ext cx="1471930" cy="1022984"/>
                          </a:xfrm>
                          <a:prstGeom prst="rect">
                            <a:avLst/>
                          </a:prstGeom>
                        </pic:spPr>
                      </pic:pic>
                      <wps:wsp>
                        <wps:cNvPr id="40" name="Textbox 40"/>
                        <wps:cNvSpPr txBox="1"/>
                        <wps:spPr>
                          <a:xfrm>
                            <a:off x="0" y="0"/>
                            <a:ext cx="1471930" cy="1022985"/>
                          </a:xfrm>
                          <a:prstGeom prst="rect">
                            <a:avLst/>
                          </a:prstGeom>
                        </wps:spPr>
                        <wps:txbx>
                          <w:txbxContent>
                            <w:p>
                              <w:pPr>
                                <w:spacing w:line="240" w:lineRule="auto" w:before="0"/>
                                <w:rPr>
                                  <w:sz w:val="32"/>
                                </w:rPr>
                              </w:pPr>
                            </w:p>
                            <w:p>
                              <w:pPr>
                                <w:spacing w:line="240" w:lineRule="auto" w:before="318"/>
                                <w:rPr>
                                  <w:sz w:val="32"/>
                                </w:rPr>
                              </w:pPr>
                            </w:p>
                            <w:p>
                              <w:pPr>
                                <w:spacing w:before="0"/>
                                <w:ind w:left="1081" w:right="0" w:firstLine="0"/>
                                <w:jc w:val="left"/>
                                <w:rPr>
                                  <w:b/>
                                  <w:sz w:val="32"/>
                                </w:rPr>
                              </w:pPr>
                              <w:r>
                                <w:rPr>
                                  <w:b/>
                                  <w:color w:val="0D465F"/>
                                  <w:spacing w:val="-2"/>
                                  <w:sz w:val="32"/>
                                </w:rPr>
                                <w:t>Section</w:t>
                              </w:r>
                            </w:p>
                          </w:txbxContent>
                        </wps:txbx>
                        <wps:bodyPr wrap="square" lIns="0" tIns="0" rIns="0" bIns="0" rtlCol="0">
                          <a:noAutofit/>
                        </wps:bodyPr>
                      </wps:wsp>
                    </wpg:wgp>
                  </a:graphicData>
                </a:graphic>
              </wp:anchor>
            </w:drawing>
          </mc:Choice>
          <mc:Fallback>
            <w:pict>
              <v:group style="position:absolute;margin-left:17.950001pt;margin-top:-51.516876pt;width:115.9pt;height:80.55pt;mso-position-horizontal-relative:page;mso-position-vertical-relative:paragraph;z-index:15736832" id="docshapegroup8" coordorigin="359,-1030" coordsize="2318,1611">
                <v:shape style="position:absolute;left:359;top:-1031;width:2318;height:1611" type="#_x0000_t75" id="docshape9" stroked="false">
                  <v:imagedata r:id="rId26" o:title=""/>
                </v:shape>
                <v:shape style="position:absolute;left:359;top:-1031;width:2318;height:1611" type="#_x0000_t202" id="docshape10" filled="false" stroked="false">
                  <v:textbox inset="0,0,0,0">
                    <w:txbxContent>
                      <w:p>
                        <w:pPr>
                          <w:spacing w:line="240" w:lineRule="auto" w:before="0"/>
                          <w:rPr>
                            <w:sz w:val="32"/>
                          </w:rPr>
                        </w:pPr>
                      </w:p>
                      <w:p>
                        <w:pPr>
                          <w:spacing w:line="240" w:lineRule="auto" w:before="318"/>
                          <w:rPr>
                            <w:sz w:val="32"/>
                          </w:rPr>
                        </w:pPr>
                      </w:p>
                      <w:p>
                        <w:pPr>
                          <w:spacing w:before="0"/>
                          <w:ind w:left="1081" w:right="0" w:firstLine="0"/>
                          <w:jc w:val="left"/>
                          <w:rPr>
                            <w:b/>
                            <w:sz w:val="32"/>
                          </w:rPr>
                        </w:pPr>
                        <w:r>
                          <w:rPr>
                            <w:b/>
                            <w:color w:val="0D465F"/>
                            <w:spacing w:val="-2"/>
                            <w:sz w:val="32"/>
                          </w:rPr>
                          <w:t>Section</w:t>
                        </w:r>
                      </w:p>
                    </w:txbxContent>
                  </v:textbox>
                  <w10:wrap type="none"/>
                </v:shape>
                <w10:wrap type="none"/>
              </v:group>
            </w:pict>
          </mc:Fallback>
        </mc:AlternateContent>
      </w:r>
      <w:bookmarkStart w:name="3 - Methodology" w:id="6"/>
      <w:bookmarkEnd w:id="6"/>
      <w:r>
        <w:rPr>
          <w:b w:val="0"/>
        </w:rPr>
      </w:r>
      <w:r>
        <w:rPr>
          <w:color w:val="0D465F"/>
        </w:rPr>
        <w:t>3</w:t>
      </w:r>
      <w:r>
        <w:rPr>
          <w:color w:val="0D465F"/>
          <w:spacing w:val="1"/>
        </w:rPr>
        <w:t> </w:t>
      </w:r>
      <w:r>
        <w:rPr>
          <w:color w:val="0D465F"/>
        </w:rPr>
        <w:t>-</w:t>
      </w:r>
      <w:r>
        <w:rPr>
          <w:color w:val="0D465F"/>
          <w:spacing w:val="-9"/>
        </w:rPr>
        <w:t> </w:t>
      </w:r>
      <w:r>
        <w:rPr>
          <w:color w:val="0D465F"/>
          <w:spacing w:val="-2"/>
        </w:rPr>
        <w:t>Methodology</w:t>
      </w:r>
    </w:p>
    <w:p>
      <w:pPr>
        <w:pStyle w:val="BodyText"/>
        <w:spacing w:line="280" w:lineRule="auto" w:before="152"/>
        <w:ind w:left="1200" w:right="178"/>
      </w:pPr>
      <w:r>
        <w:rPr/>
        <w:t>To determine AAG's long-term financial position, a projection of cashflows was projected for the next 30 years (2025 – 2054). Asset cash flows depend on asset portfolio allocations, which rely on the timing</w:t>
      </w:r>
      <w:r>
        <w:rPr>
          <w:spacing w:val="-7"/>
        </w:rPr>
        <w:t> </w:t>
      </w:r>
      <w:r>
        <w:rPr/>
        <w:t>and</w:t>
      </w:r>
      <w:r>
        <w:rPr>
          <w:spacing w:val="-3"/>
        </w:rPr>
        <w:t> </w:t>
      </w:r>
      <w:r>
        <w:rPr/>
        <w:t>nature</w:t>
      </w:r>
      <w:r>
        <w:rPr>
          <w:spacing w:val="-12"/>
        </w:rPr>
        <w:t> </w:t>
      </w:r>
      <w:r>
        <w:rPr/>
        <w:t>of liabilities'</w:t>
      </w:r>
      <w:r>
        <w:rPr>
          <w:spacing w:val="-1"/>
        </w:rPr>
        <w:t> </w:t>
      </w:r>
      <w:r>
        <w:rPr/>
        <w:t>cash</w:t>
      </w:r>
      <w:r>
        <w:rPr>
          <w:spacing w:val="-7"/>
        </w:rPr>
        <w:t> </w:t>
      </w:r>
      <w:r>
        <w:rPr/>
        <w:t>flows.</w:t>
      </w:r>
      <w:r>
        <w:rPr>
          <w:spacing w:val="-4"/>
        </w:rPr>
        <w:t> </w:t>
      </w:r>
      <w:r>
        <w:rPr/>
        <w:t>The</w:t>
      </w:r>
      <w:r>
        <w:rPr>
          <w:spacing w:val="-7"/>
        </w:rPr>
        <w:t> </w:t>
      </w:r>
      <w:r>
        <w:rPr/>
        <w:t>following</w:t>
      </w:r>
      <w:r>
        <w:rPr>
          <w:spacing w:val="-3"/>
        </w:rPr>
        <w:t> </w:t>
      </w:r>
      <w:r>
        <w:rPr/>
        <w:t>steps</w:t>
      </w:r>
      <w:r>
        <w:rPr>
          <w:spacing w:val="-6"/>
        </w:rPr>
        <w:t> </w:t>
      </w:r>
      <w:r>
        <w:rPr/>
        <w:t>were</w:t>
      </w:r>
      <w:r>
        <w:rPr>
          <w:spacing w:val="-3"/>
        </w:rPr>
        <w:t> </w:t>
      </w:r>
      <w:r>
        <w:rPr/>
        <w:t>conducted</w:t>
      </w:r>
      <w:r>
        <w:rPr>
          <w:spacing w:val="-3"/>
        </w:rPr>
        <w:t> </w:t>
      </w:r>
      <w:r>
        <w:rPr/>
        <w:t>to</w:t>
      </w:r>
      <w:r>
        <w:rPr>
          <w:spacing w:val="-13"/>
        </w:rPr>
        <w:t> </w:t>
      </w:r>
      <w:r>
        <w:rPr/>
        <w:t>forecast liability</w:t>
      </w:r>
      <w:r>
        <w:rPr>
          <w:spacing w:val="-10"/>
        </w:rPr>
        <w:t> </w:t>
      </w:r>
      <w:r>
        <w:rPr/>
        <w:t>cash </w:t>
      </w:r>
      <w:r>
        <w:rPr>
          <w:spacing w:val="-2"/>
        </w:rPr>
        <w:t>flows:</w:t>
      </w:r>
    </w:p>
    <w:p>
      <w:pPr>
        <w:pStyle w:val="BodyText"/>
        <w:spacing w:before="9"/>
        <w:rPr>
          <w:sz w:val="13"/>
        </w:rPr>
      </w:pPr>
    </w:p>
    <w:tbl>
      <w:tblPr>
        <w:tblW w:w="0" w:type="auto"/>
        <w:jc w:val="left"/>
        <w:tblInd w:w="1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7"/>
        <w:gridCol w:w="1095"/>
        <w:gridCol w:w="1436"/>
        <w:gridCol w:w="3140"/>
        <w:gridCol w:w="2786"/>
      </w:tblGrid>
      <w:tr>
        <w:trPr>
          <w:trHeight w:val="177" w:hRule="atLeast"/>
        </w:trPr>
        <w:tc>
          <w:tcPr>
            <w:tcW w:w="567" w:type="dxa"/>
            <w:shd w:val="clear" w:color="auto" w:fill="092D41"/>
          </w:tcPr>
          <w:p>
            <w:pPr>
              <w:pStyle w:val="TableParagraph"/>
              <w:spacing w:line="157" w:lineRule="exact"/>
              <w:ind w:left="20" w:right="6"/>
              <w:jc w:val="center"/>
              <w:rPr>
                <w:b/>
                <w:sz w:val="16"/>
              </w:rPr>
            </w:pPr>
            <w:r>
              <w:rPr>
                <w:b/>
                <w:color w:val="FFFFFF"/>
                <w:spacing w:val="-4"/>
                <w:sz w:val="16"/>
              </w:rPr>
              <w:t>Step</w:t>
            </w:r>
          </w:p>
        </w:tc>
        <w:tc>
          <w:tcPr>
            <w:tcW w:w="1095" w:type="dxa"/>
            <w:shd w:val="clear" w:color="auto" w:fill="092D41"/>
          </w:tcPr>
          <w:p>
            <w:pPr>
              <w:pStyle w:val="TableParagraph"/>
              <w:spacing w:line="157" w:lineRule="exact"/>
              <w:ind w:left="110"/>
              <w:rPr>
                <w:b/>
                <w:sz w:val="16"/>
              </w:rPr>
            </w:pPr>
            <w:r>
              <w:rPr>
                <w:b/>
                <w:color w:val="FFFFFF"/>
                <w:spacing w:val="-2"/>
                <w:sz w:val="16"/>
              </w:rPr>
              <w:t>Description</w:t>
            </w:r>
          </w:p>
        </w:tc>
        <w:tc>
          <w:tcPr>
            <w:tcW w:w="1436" w:type="dxa"/>
            <w:shd w:val="clear" w:color="auto" w:fill="092D41"/>
          </w:tcPr>
          <w:p>
            <w:pPr>
              <w:pStyle w:val="TableParagraph"/>
              <w:spacing w:line="157" w:lineRule="exact"/>
              <w:ind w:left="114"/>
              <w:rPr>
                <w:b/>
                <w:sz w:val="16"/>
              </w:rPr>
            </w:pPr>
            <w:r>
              <w:rPr>
                <w:b/>
                <w:color w:val="FFFFFF"/>
                <w:spacing w:val="-2"/>
                <w:sz w:val="16"/>
              </w:rPr>
              <w:t>Inputs</w:t>
            </w:r>
            <w:r>
              <w:rPr>
                <w:b/>
                <w:color w:val="FFFFFF"/>
                <w:spacing w:val="-1"/>
                <w:sz w:val="16"/>
              </w:rPr>
              <w:t> </w:t>
            </w:r>
            <w:r>
              <w:rPr>
                <w:b/>
                <w:color w:val="FFFFFF"/>
                <w:spacing w:val="-2"/>
                <w:sz w:val="16"/>
              </w:rPr>
              <w:t>Given</w:t>
            </w:r>
          </w:p>
        </w:tc>
        <w:tc>
          <w:tcPr>
            <w:tcW w:w="3140" w:type="dxa"/>
            <w:shd w:val="clear" w:color="auto" w:fill="092D41"/>
          </w:tcPr>
          <w:p>
            <w:pPr>
              <w:pStyle w:val="TableParagraph"/>
              <w:spacing w:line="157" w:lineRule="exact"/>
              <w:ind w:left="109"/>
              <w:rPr>
                <w:b/>
                <w:sz w:val="16"/>
              </w:rPr>
            </w:pPr>
            <w:r>
              <w:rPr>
                <w:b/>
                <w:color w:val="FFFFFF"/>
                <w:spacing w:val="-2"/>
                <w:sz w:val="16"/>
              </w:rPr>
              <w:t>Assumptions</w:t>
            </w:r>
          </w:p>
        </w:tc>
        <w:tc>
          <w:tcPr>
            <w:tcW w:w="2786" w:type="dxa"/>
            <w:shd w:val="clear" w:color="auto" w:fill="092D41"/>
          </w:tcPr>
          <w:p>
            <w:pPr>
              <w:pStyle w:val="TableParagraph"/>
              <w:spacing w:line="157" w:lineRule="exact"/>
              <w:ind w:left="105"/>
              <w:rPr>
                <w:b/>
                <w:sz w:val="16"/>
              </w:rPr>
            </w:pPr>
            <w:r>
              <w:rPr>
                <w:b/>
                <w:color w:val="FFFFFF"/>
                <w:spacing w:val="-2"/>
                <w:sz w:val="16"/>
              </w:rPr>
              <w:t>Calculation</w:t>
            </w:r>
            <w:r>
              <w:rPr>
                <w:b/>
                <w:color w:val="FFFFFF"/>
                <w:spacing w:val="4"/>
                <w:sz w:val="16"/>
              </w:rPr>
              <w:t> </w:t>
            </w:r>
            <w:r>
              <w:rPr>
                <w:b/>
                <w:color w:val="FFFFFF"/>
                <w:spacing w:val="-2"/>
                <w:sz w:val="16"/>
              </w:rPr>
              <w:t>Approach</w:t>
            </w:r>
          </w:p>
        </w:tc>
      </w:tr>
      <w:tr>
        <w:trPr>
          <w:trHeight w:val="1656" w:hRule="atLeast"/>
        </w:trPr>
        <w:tc>
          <w:tcPr>
            <w:tcW w:w="567" w:type="dxa"/>
            <w:shd w:val="clear" w:color="auto" w:fill="E8E8E8"/>
          </w:tcPr>
          <w:p>
            <w:pPr>
              <w:pStyle w:val="TableParagraph"/>
              <w:rPr>
                <w:sz w:val="16"/>
              </w:rPr>
            </w:pPr>
          </w:p>
          <w:p>
            <w:pPr>
              <w:pStyle w:val="TableParagraph"/>
              <w:rPr>
                <w:sz w:val="16"/>
              </w:rPr>
            </w:pPr>
          </w:p>
          <w:p>
            <w:pPr>
              <w:pStyle w:val="TableParagraph"/>
              <w:rPr>
                <w:sz w:val="16"/>
              </w:rPr>
            </w:pPr>
          </w:p>
          <w:p>
            <w:pPr>
              <w:pStyle w:val="TableParagraph"/>
              <w:spacing w:before="2"/>
              <w:rPr>
                <w:sz w:val="16"/>
              </w:rPr>
            </w:pPr>
          </w:p>
          <w:p>
            <w:pPr>
              <w:pStyle w:val="TableParagraph"/>
              <w:ind w:left="20"/>
              <w:jc w:val="center"/>
              <w:rPr>
                <w:sz w:val="16"/>
              </w:rPr>
            </w:pPr>
            <w:r>
              <w:rPr>
                <w:spacing w:val="-10"/>
                <w:sz w:val="16"/>
              </w:rPr>
              <w:t>1</w:t>
            </w:r>
          </w:p>
        </w:tc>
        <w:tc>
          <w:tcPr>
            <w:tcW w:w="1095" w:type="dxa"/>
            <w:shd w:val="clear" w:color="auto" w:fill="E8E8E8"/>
          </w:tcPr>
          <w:p>
            <w:pPr>
              <w:pStyle w:val="TableParagraph"/>
              <w:rPr>
                <w:sz w:val="16"/>
              </w:rPr>
            </w:pPr>
          </w:p>
          <w:p>
            <w:pPr>
              <w:pStyle w:val="TableParagraph"/>
              <w:spacing w:before="91"/>
              <w:rPr>
                <w:sz w:val="16"/>
              </w:rPr>
            </w:pPr>
          </w:p>
          <w:p>
            <w:pPr>
              <w:pStyle w:val="TableParagraph"/>
              <w:ind w:left="110" w:right="246"/>
              <w:rPr>
                <w:sz w:val="16"/>
              </w:rPr>
            </w:pPr>
            <w:r>
              <w:rPr>
                <w:spacing w:val="-2"/>
                <w:sz w:val="16"/>
              </w:rPr>
              <w:t>Project </w:t>
            </w:r>
            <w:r>
              <w:rPr>
                <w:sz w:val="16"/>
              </w:rPr>
              <w:t>number</w:t>
            </w:r>
            <w:r>
              <w:rPr>
                <w:spacing w:val="-12"/>
                <w:sz w:val="16"/>
              </w:rPr>
              <w:t> </w:t>
            </w:r>
            <w:r>
              <w:rPr>
                <w:sz w:val="16"/>
              </w:rPr>
              <w:t>of </w:t>
            </w:r>
            <w:r>
              <w:rPr>
                <w:spacing w:val="-4"/>
                <w:sz w:val="16"/>
              </w:rPr>
              <w:t>customers </w:t>
            </w:r>
            <w:r>
              <w:rPr>
                <w:sz w:val="16"/>
              </w:rPr>
              <w:t>per year</w:t>
            </w:r>
          </w:p>
        </w:tc>
        <w:tc>
          <w:tcPr>
            <w:tcW w:w="1436" w:type="dxa"/>
            <w:shd w:val="clear" w:color="auto" w:fill="E8E8E8"/>
          </w:tcPr>
          <w:p>
            <w:pPr>
              <w:pStyle w:val="TableParagraph"/>
              <w:spacing w:line="244" w:lineRule="auto"/>
              <w:ind w:left="114"/>
              <w:rPr>
                <w:sz w:val="16"/>
              </w:rPr>
            </w:pPr>
            <w:r>
              <w:rPr>
                <w:spacing w:val="-4"/>
                <w:sz w:val="16"/>
              </w:rPr>
              <w:t>2024</w:t>
            </w:r>
            <w:r>
              <w:rPr>
                <w:spacing w:val="-15"/>
                <w:sz w:val="16"/>
              </w:rPr>
              <w:t> </w:t>
            </w:r>
            <w:r>
              <w:rPr>
                <w:spacing w:val="-4"/>
                <w:sz w:val="16"/>
              </w:rPr>
              <w:t>customer </w:t>
            </w:r>
            <w:r>
              <w:rPr>
                <w:spacing w:val="-2"/>
                <w:sz w:val="16"/>
              </w:rPr>
              <w:t>population</w:t>
            </w:r>
          </w:p>
          <w:p>
            <w:pPr>
              <w:pStyle w:val="TableParagraph"/>
              <w:spacing w:line="244" w:lineRule="auto" w:before="175"/>
              <w:ind w:left="114" w:right="322"/>
              <w:rPr>
                <w:sz w:val="16"/>
              </w:rPr>
            </w:pPr>
            <w:r>
              <w:rPr>
                <w:sz w:val="16"/>
              </w:rPr>
              <w:t>New entrant </w:t>
            </w:r>
            <w:r>
              <w:rPr>
                <w:spacing w:val="-2"/>
                <w:sz w:val="16"/>
              </w:rPr>
              <w:t>projections </w:t>
            </w:r>
            <w:r>
              <w:rPr>
                <w:sz w:val="16"/>
              </w:rPr>
              <w:t>(2025</w:t>
            </w:r>
            <w:r>
              <w:rPr>
                <w:spacing w:val="-9"/>
                <w:sz w:val="16"/>
              </w:rPr>
              <w:t> </w:t>
            </w:r>
            <w:r>
              <w:rPr>
                <w:sz w:val="16"/>
              </w:rPr>
              <w:t>–</w:t>
            </w:r>
            <w:r>
              <w:rPr>
                <w:spacing w:val="-8"/>
                <w:sz w:val="16"/>
              </w:rPr>
              <w:t> </w:t>
            </w:r>
            <w:r>
              <w:rPr>
                <w:spacing w:val="-2"/>
                <w:sz w:val="16"/>
              </w:rPr>
              <w:t>2030)</w:t>
            </w:r>
          </w:p>
          <w:p>
            <w:pPr>
              <w:pStyle w:val="TableParagraph"/>
              <w:spacing w:line="182" w:lineRule="exact" w:before="158"/>
              <w:ind w:left="114" w:right="322"/>
              <w:rPr>
                <w:sz w:val="16"/>
              </w:rPr>
            </w:pPr>
            <w:r>
              <w:rPr>
                <w:spacing w:val="-4"/>
                <w:sz w:val="16"/>
              </w:rPr>
              <w:t>Mortality</w:t>
            </w:r>
            <w:r>
              <w:rPr>
                <w:spacing w:val="-20"/>
                <w:sz w:val="16"/>
              </w:rPr>
              <w:t> </w:t>
            </w:r>
            <w:r>
              <w:rPr>
                <w:spacing w:val="-4"/>
                <w:sz w:val="16"/>
              </w:rPr>
              <w:t>rates </w:t>
            </w:r>
            <w:r>
              <w:rPr>
                <w:sz w:val="16"/>
              </w:rPr>
              <w:t>(Age</w:t>
            </w:r>
            <w:r>
              <w:rPr>
                <w:spacing w:val="-10"/>
                <w:sz w:val="16"/>
              </w:rPr>
              <w:t> </w:t>
            </w:r>
            <w:r>
              <w:rPr>
                <w:sz w:val="16"/>
              </w:rPr>
              <w:t>60</w:t>
            </w:r>
            <w:r>
              <w:rPr>
                <w:spacing w:val="-1"/>
                <w:sz w:val="16"/>
              </w:rPr>
              <w:t> </w:t>
            </w:r>
            <w:r>
              <w:rPr>
                <w:sz w:val="16"/>
              </w:rPr>
              <w:t>–</w:t>
            </w:r>
            <w:r>
              <w:rPr>
                <w:spacing w:val="-9"/>
                <w:sz w:val="16"/>
              </w:rPr>
              <w:t> </w:t>
            </w:r>
            <w:r>
              <w:rPr>
                <w:spacing w:val="-5"/>
                <w:sz w:val="16"/>
              </w:rPr>
              <w:t>88)</w:t>
            </w:r>
          </w:p>
        </w:tc>
        <w:tc>
          <w:tcPr>
            <w:tcW w:w="3140" w:type="dxa"/>
            <w:shd w:val="clear" w:color="auto" w:fill="E8E8E8"/>
          </w:tcPr>
          <w:p>
            <w:pPr>
              <w:pStyle w:val="TableParagraph"/>
              <w:spacing w:line="482" w:lineRule="auto" w:before="89"/>
              <w:ind w:left="109" w:right="388"/>
              <w:rPr>
                <w:sz w:val="16"/>
              </w:rPr>
            </w:pPr>
            <w:r>
              <w:rPr>
                <w:sz w:val="16"/>
              </w:rPr>
              <w:t>Entry</w:t>
            </w:r>
            <w:r>
              <w:rPr>
                <w:spacing w:val="-14"/>
                <w:sz w:val="16"/>
              </w:rPr>
              <w:t> </w:t>
            </w:r>
            <w:r>
              <w:rPr>
                <w:sz w:val="16"/>
              </w:rPr>
              <w:t>is</w:t>
            </w:r>
            <w:r>
              <w:rPr>
                <w:spacing w:val="-12"/>
                <w:sz w:val="16"/>
              </w:rPr>
              <w:t> </w:t>
            </w:r>
            <w:r>
              <w:rPr>
                <w:sz w:val="16"/>
              </w:rPr>
              <w:t>allowed</w:t>
            </w:r>
            <w:r>
              <w:rPr>
                <w:spacing w:val="-11"/>
                <w:sz w:val="16"/>
              </w:rPr>
              <w:t> </w:t>
            </w:r>
            <w:r>
              <w:rPr>
                <w:sz w:val="16"/>
              </w:rPr>
              <w:t>only</w:t>
            </w:r>
            <w:r>
              <w:rPr>
                <w:spacing w:val="-11"/>
                <w:sz w:val="16"/>
              </w:rPr>
              <w:t> </w:t>
            </w:r>
            <w:r>
              <w:rPr>
                <w:sz w:val="16"/>
              </w:rPr>
              <w:t>at</w:t>
            </w:r>
            <w:r>
              <w:rPr>
                <w:spacing w:val="-11"/>
                <w:sz w:val="16"/>
              </w:rPr>
              <w:t> </w:t>
            </w:r>
            <w:r>
              <w:rPr>
                <w:sz w:val="16"/>
              </w:rPr>
              <w:t>age</w:t>
            </w:r>
            <w:r>
              <w:rPr>
                <w:spacing w:val="-12"/>
                <w:sz w:val="16"/>
              </w:rPr>
              <w:t> </w:t>
            </w:r>
            <w:r>
              <w:rPr>
                <w:sz w:val="16"/>
              </w:rPr>
              <w:t>60. Customers</w:t>
            </w:r>
            <w:r>
              <w:rPr>
                <w:spacing w:val="-2"/>
                <w:sz w:val="16"/>
              </w:rPr>
              <w:t> </w:t>
            </w:r>
            <w:r>
              <w:rPr>
                <w:sz w:val="16"/>
              </w:rPr>
              <w:t>exit</w:t>
            </w:r>
            <w:r>
              <w:rPr>
                <w:spacing w:val="-1"/>
                <w:sz w:val="16"/>
              </w:rPr>
              <w:t> </w:t>
            </w:r>
            <w:r>
              <w:rPr>
                <w:sz w:val="16"/>
              </w:rPr>
              <w:t>only</w:t>
            </w:r>
            <w:r>
              <w:rPr>
                <w:spacing w:val="-5"/>
                <w:sz w:val="16"/>
              </w:rPr>
              <w:t> </w:t>
            </w:r>
            <w:r>
              <w:rPr>
                <w:sz w:val="16"/>
              </w:rPr>
              <w:t>via</w:t>
            </w:r>
            <w:r>
              <w:rPr>
                <w:spacing w:val="-9"/>
                <w:sz w:val="16"/>
              </w:rPr>
              <w:t> </w:t>
            </w:r>
            <w:r>
              <w:rPr>
                <w:spacing w:val="-2"/>
                <w:sz w:val="16"/>
              </w:rPr>
              <w:t>death.</w:t>
            </w:r>
          </w:p>
          <w:p>
            <w:pPr>
              <w:pStyle w:val="TableParagraph"/>
              <w:spacing w:line="183" w:lineRule="exact"/>
              <w:ind w:left="109"/>
              <w:rPr>
                <w:sz w:val="16"/>
              </w:rPr>
            </w:pPr>
            <w:r>
              <w:rPr>
                <w:sz w:val="16"/>
              </w:rPr>
              <w:t>Mortality</w:t>
            </w:r>
            <w:r>
              <w:rPr>
                <w:spacing w:val="-13"/>
                <w:sz w:val="16"/>
              </w:rPr>
              <w:t> </w:t>
            </w:r>
            <w:r>
              <w:rPr>
                <w:sz w:val="16"/>
              </w:rPr>
              <w:t>rates</w:t>
            </w:r>
            <w:r>
              <w:rPr>
                <w:spacing w:val="-2"/>
                <w:sz w:val="16"/>
              </w:rPr>
              <w:t> </w:t>
            </w:r>
            <w:r>
              <w:rPr>
                <w:sz w:val="16"/>
              </w:rPr>
              <w:t>are</w:t>
            </w:r>
            <w:r>
              <w:rPr>
                <w:spacing w:val="-8"/>
                <w:sz w:val="16"/>
              </w:rPr>
              <w:t> </w:t>
            </w:r>
            <w:r>
              <w:rPr>
                <w:sz w:val="16"/>
              </w:rPr>
              <w:t>national</w:t>
            </w:r>
            <w:r>
              <w:rPr>
                <w:spacing w:val="-4"/>
                <w:sz w:val="16"/>
              </w:rPr>
              <w:t> </w:t>
            </w:r>
            <w:r>
              <w:rPr>
                <w:sz w:val="16"/>
              </w:rPr>
              <w:t>and</w:t>
            </w:r>
            <w:r>
              <w:rPr>
                <w:spacing w:val="-5"/>
                <w:sz w:val="16"/>
              </w:rPr>
              <w:t> </w:t>
            </w:r>
            <w:r>
              <w:rPr>
                <w:sz w:val="16"/>
              </w:rPr>
              <w:t>max</w:t>
            </w:r>
            <w:r>
              <w:rPr>
                <w:spacing w:val="-10"/>
                <w:sz w:val="16"/>
              </w:rPr>
              <w:t> </w:t>
            </w:r>
            <w:r>
              <w:rPr>
                <w:spacing w:val="-5"/>
                <w:sz w:val="16"/>
              </w:rPr>
              <w:t>age</w:t>
            </w:r>
          </w:p>
          <w:p>
            <w:pPr>
              <w:pStyle w:val="TableParagraph"/>
              <w:spacing w:line="183" w:lineRule="exact"/>
              <w:ind w:left="109"/>
              <w:rPr>
                <w:sz w:val="16"/>
              </w:rPr>
            </w:pPr>
            <w:r>
              <w:rPr>
                <w:sz w:val="16"/>
              </w:rPr>
              <w:t>=</w:t>
            </w:r>
            <w:r>
              <w:rPr>
                <w:spacing w:val="-4"/>
                <w:sz w:val="16"/>
              </w:rPr>
              <w:t> 120.</w:t>
            </w:r>
          </w:p>
          <w:p>
            <w:pPr>
              <w:pStyle w:val="TableParagraph"/>
              <w:spacing w:before="2"/>
              <w:rPr>
                <w:sz w:val="16"/>
              </w:rPr>
            </w:pPr>
          </w:p>
          <w:p>
            <w:pPr>
              <w:pStyle w:val="TableParagraph"/>
              <w:ind w:left="109"/>
              <w:rPr>
                <w:sz w:val="16"/>
              </w:rPr>
            </w:pPr>
            <w:r>
              <w:rPr>
                <w:sz w:val="16"/>
              </w:rPr>
              <w:t>New</w:t>
            </w:r>
            <w:r>
              <w:rPr>
                <w:spacing w:val="-10"/>
                <w:sz w:val="16"/>
              </w:rPr>
              <w:t> </w:t>
            </w:r>
            <w:r>
              <w:rPr>
                <w:sz w:val="16"/>
              </w:rPr>
              <w:t>entrants</w:t>
            </w:r>
            <w:r>
              <w:rPr>
                <w:spacing w:val="-2"/>
                <w:sz w:val="16"/>
              </w:rPr>
              <w:t> </w:t>
            </w:r>
            <w:r>
              <w:rPr>
                <w:sz w:val="16"/>
              </w:rPr>
              <w:t>1/3</w:t>
            </w:r>
            <w:r>
              <w:rPr>
                <w:spacing w:val="-7"/>
                <w:sz w:val="16"/>
              </w:rPr>
              <w:t> </w:t>
            </w:r>
            <w:r>
              <w:rPr>
                <w:sz w:val="16"/>
              </w:rPr>
              <w:t>male,</w:t>
            </w:r>
            <w:r>
              <w:rPr>
                <w:spacing w:val="-6"/>
                <w:sz w:val="16"/>
              </w:rPr>
              <w:t> </w:t>
            </w:r>
            <w:r>
              <w:rPr>
                <w:sz w:val="16"/>
              </w:rPr>
              <w:t>2/3</w:t>
            </w:r>
            <w:r>
              <w:rPr>
                <w:spacing w:val="-7"/>
                <w:sz w:val="16"/>
              </w:rPr>
              <w:t> </w:t>
            </w:r>
            <w:r>
              <w:rPr>
                <w:spacing w:val="-2"/>
                <w:sz w:val="16"/>
              </w:rPr>
              <w:t>female.</w:t>
            </w:r>
          </w:p>
        </w:tc>
        <w:tc>
          <w:tcPr>
            <w:tcW w:w="2786" w:type="dxa"/>
            <w:shd w:val="clear" w:color="auto" w:fill="E8E8E8"/>
          </w:tcPr>
          <w:p>
            <w:pPr>
              <w:pStyle w:val="TableParagraph"/>
              <w:spacing w:line="183" w:lineRule="exact"/>
              <w:ind w:left="105"/>
              <w:rPr>
                <w:sz w:val="16"/>
              </w:rPr>
            </w:pPr>
            <w:r>
              <w:rPr>
                <w:sz w:val="16"/>
              </w:rPr>
              <w:t>Start</w:t>
            </w:r>
            <w:r>
              <w:rPr>
                <w:spacing w:val="-2"/>
                <w:sz w:val="16"/>
              </w:rPr>
              <w:t> </w:t>
            </w:r>
            <w:r>
              <w:rPr>
                <w:sz w:val="16"/>
              </w:rPr>
              <w:t>with</w:t>
            </w:r>
            <w:r>
              <w:rPr>
                <w:spacing w:val="-9"/>
                <w:sz w:val="16"/>
              </w:rPr>
              <w:t> </w:t>
            </w:r>
            <w:r>
              <w:rPr>
                <w:sz w:val="16"/>
              </w:rPr>
              <w:t>2024</w:t>
            </w:r>
            <w:r>
              <w:rPr>
                <w:spacing w:val="-10"/>
                <w:sz w:val="16"/>
              </w:rPr>
              <w:t> </w:t>
            </w:r>
            <w:r>
              <w:rPr>
                <w:spacing w:val="-2"/>
                <w:sz w:val="16"/>
              </w:rPr>
              <w:t>population.</w:t>
            </w:r>
          </w:p>
          <w:p>
            <w:pPr>
              <w:pStyle w:val="TableParagraph"/>
              <w:spacing w:before="1"/>
              <w:rPr>
                <w:sz w:val="16"/>
              </w:rPr>
            </w:pPr>
          </w:p>
          <w:p>
            <w:pPr>
              <w:pStyle w:val="TableParagraph"/>
              <w:ind w:left="105" w:right="189"/>
              <w:rPr>
                <w:sz w:val="16"/>
              </w:rPr>
            </w:pPr>
            <w:r>
              <w:rPr>
                <w:sz w:val="16"/>
              </w:rPr>
              <w:t>Forecast</w:t>
            </w:r>
            <w:r>
              <w:rPr>
                <w:spacing w:val="-12"/>
                <w:sz w:val="16"/>
              </w:rPr>
              <w:t> </w:t>
            </w:r>
            <w:r>
              <w:rPr>
                <w:sz w:val="16"/>
              </w:rPr>
              <w:t>2030</w:t>
            </w:r>
            <w:r>
              <w:rPr>
                <w:spacing w:val="-11"/>
                <w:sz w:val="16"/>
              </w:rPr>
              <w:t> </w:t>
            </w:r>
            <w:r>
              <w:rPr>
                <w:sz w:val="16"/>
              </w:rPr>
              <w:t>–</w:t>
            </w:r>
            <w:r>
              <w:rPr>
                <w:spacing w:val="-11"/>
                <w:sz w:val="16"/>
              </w:rPr>
              <w:t> </w:t>
            </w:r>
            <w:r>
              <w:rPr>
                <w:sz w:val="16"/>
              </w:rPr>
              <w:t>2054</w:t>
            </w:r>
            <w:r>
              <w:rPr>
                <w:spacing w:val="-11"/>
                <w:sz w:val="16"/>
              </w:rPr>
              <w:t> </w:t>
            </w:r>
            <w:r>
              <w:rPr>
                <w:sz w:val="16"/>
              </w:rPr>
              <w:t>new</w:t>
            </w:r>
            <w:r>
              <w:rPr>
                <w:spacing w:val="-11"/>
                <w:sz w:val="16"/>
              </w:rPr>
              <w:t> </w:t>
            </w:r>
            <w:r>
              <w:rPr>
                <w:sz w:val="16"/>
              </w:rPr>
              <w:t>entrants and add them annually.</w:t>
            </w:r>
          </w:p>
          <w:p>
            <w:pPr>
              <w:pStyle w:val="TableParagraph"/>
              <w:spacing w:before="1"/>
              <w:rPr>
                <w:sz w:val="16"/>
              </w:rPr>
            </w:pPr>
          </w:p>
          <w:p>
            <w:pPr>
              <w:pStyle w:val="TableParagraph"/>
              <w:spacing w:line="244" w:lineRule="auto"/>
              <w:ind w:left="105" w:right="189"/>
              <w:rPr>
                <w:sz w:val="16"/>
              </w:rPr>
            </w:pPr>
            <w:r>
              <w:rPr>
                <w:sz w:val="16"/>
              </w:rPr>
              <w:t>Extrapolate</w:t>
            </w:r>
            <w:r>
              <w:rPr>
                <w:spacing w:val="-3"/>
                <w:sz w:val="16"/>
              </w:rPr>
              <w:t> </w:t>
            </w:r>
            <w:r>
              <w:rPr>
                <w:sz w:val="16"/>
              </w:rPr>
              <w:t>mortality</w:t>
            </w:r>
            <w:r>
              <w:rPr>
                <w:spacing w:val="-9"/>
                <w:sz w:val="16"/>
              </w:rPr>
              <w:t> </w:t>
            </w:r>
            <w:r>
              <w:rPr>
                <w:sz w:val="16"/>
              </w:rPr>
              <w:t>rates to</w:t>
            </w:r>
            <w:r>
              <w:rPr>
                <w:spacing w:val="-7"/>
                <w:sz w:val="16"/>
              </w:rPr>
              <w:t> </w:t>
            </w:r>
            <w:r>
              <w:rPr>
                <w:sz w:val="16"/>
              </w:rPr>
              <w:t>ages 88</w:t>
            </w:r>
            <w:r>
              <w:rPr>
                <w:spacing w:val="-7"/>
                <w:sz w:val="16"/>
              </w:rPr>
              <w:t> </w:t>
            </w:r>
            <w:r>
              <w:rPr>
                <w:sz w:val="16"/>
              </w:rPr>
              <w:t>to</w:t>
            </w:r>
            <w:r>
              <w:rPr>
                <w:spacing w:val="-12"/>
                <w:sz w:val="16"/>
              </w:rPr>
              <w:t> </w:t>
            </w:r>
            <w:r>
              <w:rPr>
                <w:sz w:val="16"/>
              </w:rPr>
              <w:t>120</w:t>
            </w:r>
            <w:r>
              <w:rPr>
                <w:spacing w:val="-3"/>
                <w:sz w:val="16"/>
              </w:rPr>
              <w:t> </w:t>
            </w:r>
            <w:r>
              <w:rPr>
                <w:sz w:val="16"/>
              </w:rPr>
              <w:t>and</w:t>
            </w:r>
            <w:r>
              <w:rPr>
                <w:spacing w:val="-2"/>
                <w:sz w:val="16"/>
              </w:rPr>
              <w:t> </w:t>
            </w:r>
            <w:r>
              <w:rPr>
                <w:sz w:val="16"/>
              </w:rPr>
              <w:t>apply</w:t>
            </w:r>
            <w:r>
              <w:rPr>
                <w:spacing w:val="-11"/>
                <w:sz w:val="16"/>
              </w:rPr>
              <w:t> </w:t>
            </w:r>
            <w:r>
              <w:rPr>
                <w:sz w:val="16"/>
              </w:rPr>
              <w:t>rates</w:t>
            </w:r>
            <w:r>
              <w:rPr>
                <w:spacing w:val="2"/>
                <w:sz w:val="16"/>
              </w:rPr>
              <w:t> </w:t>
            </w:r>
            <w:r>
              <w:rPr>
                <w:sz w:val="16"/>
              </w:rPr>
              <w:t>per</w:t>
            </w:r>
            <w:r>
              <w:rPr>
                <w:spacing w:val="3"/>
                <w:sz w:val="16"/>
              </w:rPr>
              <w:t> </w:t>
            </w:r>
            <w:r>
              <w:rPr>
                <w:spacing w:val="-4"/>
                <w:sz w:val="16"/>
              </w:rPr>
              <w:t>year.</w:t>
            </w:r>
          </w:p>
          <w:p>
            <w:pPr>
              <w:pStyle w:val="TableParagraph"/>
              <w:spacing w:line="178" w:lineRule="exact" w:before="162"/>
              <w:ind w:left="105"/>
              <w:rPr>
                <w:sz w:val="16"/>
              </w:rPr>
            </w:pPr>
            <w:r>
              <w:rPr>
                <w:sz w:val="16"/>
              </w:rPr>
              <w:t>Sum</w:t>
            </w:r>
            <w:r>
              <w:rPr>
                <w:spacing w:val="-12"/>
                <w:sz w:val="16"/>
              </w:rPr>
              <w:t> </w:t>
            </w:r>
            <w:r>
              <w:rPr>
                <w:sz w:val="16"/>
              </w:rPr>
              <w:t>female</w:t>
            </w:r>
            <w:r>
              <w:rPr>
                <w:spacing w:val="-6"/>
                <w:sz w:val="16"/>
              </w:rPr>
              <w:t> </w:t>
            </w:r>
            <w:r>
              <w:rPr>
                <w:sz w:val="16"/>
              </w:rPr>
              <w:t>and</w:t>
            </w:r>
            <w:r>
              <w:rPr>
                <w:spacing w:val="-1"/>
                <w:sz w:val="16"/>
              </w:rPr>
              <w:t> </w:t>
            </w:r>
            <w:r>
              <w:rPr>
                <w:sz w:val="16"/>
              </w:rPr>
              <w:t>male</w:t>
            </w:r>
            <w:r>
              <w:rPr>
                <w:spacing w:val="-13"/>
                <w:sz w:val="16"/>
              </w:rPr>
              <w:t> </w:t>
            </w:r>
            <w:r>
              <w:rPr>
                <w:spacing w:val="-2"/>
                <w:sz w:val="16"/>
              </w:rPr>
              <w:t>populations.</w:t>
            </w:r>
          </w:p>
        </w:tc>
      </w:tr>
      <w:tr>
        <w:trPr>
          <w:trHeight w:val="551" w:hRule="atLeast"/>
        </w:trPr>
        <w:tc>
          <w:tcPr>
            <w:tcW w:w="567" w:type="dxa"/>
          </w:tcPr>
          <w:p>
            <w:pPr>
              <w:pStyle w:val="TableParagraph"/>
              <w:spacing w:before="1"/>
              <w:rPr>
                <w:sz w:val="16"/>
              </w:rPr>
            </w:pPr>
          </w:p>
          <w:p>
            <w:pPr>
              <w:pStyle w:val="TableParagraph"/>
              <w:ind w:left="20"/>
              <w:jc w:val="center"/>
              <w:rPr>
                <w:sz w:val="16"/>
              </w:rPr>
            </w:pPr>
            <w:r>
              <w:rPr>
                <w:spacing w:val="-10"/>
                <w:sz w:val="16"/>
              </w:rPr>
              <w:t>2</w:t>
            </w:r>
          </w:p>
        </w:tc>
        <w:tc>
          <w:tcPr>
            <w:tcW w:w="1095" w:type="dxa"/>
          </w:tcPr>
          <w:p>
            <w:pPr>
              <w:pStyle w:val="TableParagraph"/>
              <w:spacing w:before="94"/>
              <w:ind w:left="110" w:right="20"/>
              <w:rPr>
                <w:sz w:val="16"/>
              </w:rPr>
            </w:pPr>
            <w:r>
              <w:rPr>
                <w:spacing w:val="-2"/>
                <w:sz w:val="16"/>
              </w:rPr>
              <w:t>Determine </w:t>
            </w:r>
            <w:r>
              <w:rPr>
                <w:spacing w:val="-4"/>
                <w:sz w:val="16"/>
              </w:rPr>
              <w:t>age</w:t>
            </w:r>
            <w:r>
              <w:rPr>
                <w:spacing w:val="-13"/>
                <w:sz w:val="16"/>
              </w:rPr>
              <w:t> </w:t>
            </w:r>
            <w:r>
              <w:rPr>
                <w:spacing w:val="-4"/>
                <w:sz w:val="16"/>
              </w:rPr>
              <w:t>profiles</w:t>
            </w:r>
          </w:p>
        </w:tc>
        <w:tc>
          <w:tcPr>
            <w:tcW w:w="1436" w:type="dxa"/>
          </w:tcPr>
          <w:p>
            <w:pPr>
              <w:pStyle w:val="TableParagraph"/>
              <w:spacing w:before="94"/>
              <w:ind w:left="114" w:right="170"/>
              <w:rPr>
                <w:sz w:val="16"/>
              </w:rPr>
            </w:pPr>
            <w:r>
              <w:rPr>
                <w:spacing w:val="-4"/>
                <w:sz w:val="16"/>
              </w:rPr>
              <w:t>2024</w:t>
            </w:r>
            <w:r>
              <w:rPr>
                <w:spacing w:val="-15"/>
                <w:sz w:val="16"/>
              </w:rPr>
              <w:t> </w:t>
            </w:r>
            <w:r>
              <w:rPr>
                <w:spacing w:val="-4"/>
                <w:sz w:val="16"/>
              </w:rPr>
              <w:t>customer </w:t>
            </w:r>
            <w:r>
              <w:rPr>
                <w:sz w:val="16"/>
              </w:rPr>
              <w:t>age</w:t>
            </w:r>
            <w:r>
              <w:rPr>
                <w:spacing w:val="-2"/>
                <w:sz w:val="16"/>
              </w:rPr>
              <w:t> </w:t>
            </w:r>
            <w:r>
              <w:rPr>
                <w:sz w:val="16"/>
              </w:rPr>
              <w:t>profile</w:t>
            </w:r>
          </w:p>
        </w:tc>
        <w:tc>
          <w:tcPr>
            <w:tcW w:w="3140" w:type="dxa"/>
          </w:tcPr>
          <w:p>
            <w:pPr>
              <w:pStyle w:val="TableParagraph"/>
              <w:spacing w:line="244" w:lineRule="auto"/>
              <w:ind w:left="109" w:right="388"/>
              <w:rPr>
                <w:sz w:val="16"/>
              </w:rPr>
            </w:pPr>
            <w:r>
              <w:rPr>
                <w:sz w:val="16"/>
              </w:rPr>
              <w:t>Customers have similar age profiles across</w:t>
            </w:r>
            <w:r>
              <w:rPr>
                <w:spacing w:val="-12"/>
                <w:sz w:val="16"/>
              </w:rPr>
              <w:t> </w:t>
            </w:r>
            <w:r>
              <w:rPr>
                <w:sz w:val="16"/>
              </w:rPr>
              <w:t>ages</w:t>
            </w:r>
            <w:r>
              <w:rPr>
                <w:spacing w:val="-11"/>
                <w:sz w:val="16"/>
              </w:rPr>
              <w:t> </w:t>
            </w:r>
            <w:r>
              <w:rPr>
                <w:sz w:val="16"/>
              </w:rPr>
              <w:t>60-69,</w:t>
            </w:r>
            <w:r>
              <w:rPr>
                <w:spacing w:val="-11"/>
                <w:sz w:val="16"/>
              </w:rPr>
              <w:t> </w:t>
            </w:r>
            <w:r>
              <w:rPr>
                <w:sz w:val="16"/>
              </w:rPr>
              <w:t>70-79,</w:t>
            </w:r>
            <w:r>
              <w:rPr>
                <w:spacing w:val="-11"/>
                <w:sz w:val="16"/>
              </w:rPr>
              <w:t> </w:t>
            </w:r>
            <w:r>
              <w:rPr>
                <w:sz w:val="16"/>
              </w:rPr>
              <w:t>80-89,</w:t>
            </w:r>
            <w:r>
              <w:rPr>
                <w:spacing w:val="-11"/>
                <w:sz w:val="16"/>
              </w:rPr>
              <w:t> </w:t>
            </w:r>
            <w:r>
              <w:rPr>
                <w:sz w:val="16"/>
              </w:rPr>
              <w:t>and</w:t>
            </w:r>
          </w:p>
          <w:p>
            <w:pPr>
              <w:pStyle w:val="TableParagraph"/>
              <w:spacing w:line="158" w:lineRule="exact"/>
              <w:ind w:left="109"/>
              <w:rPr>
                <w:sz w:val="16"/>
              </w:rPr>
            </w:pPr>
            <w:r>
              <w:rPr>
                <w:spacing w:val="-4"/>
                <w:sz w:val="16"/>
              </w:rPr>
              <w:t>90-120.</w:t>
            </w:r>
          </w:p>
        </w:tc>
        <w:tc>
          <w:tcPr>
            <w:tcW w:w="2786" w:type="dxa"/>
          </w:tcPr>
          <w:p>
            <w:pPr>
              <w:pStyle w:val="TableParagraph"/>
              <w:spacing w:line="182" w:lineRule="exact"/>
              <w:ind w:left="105"/>
              <w:rPr>
                <w:sz w:val="16"/>
              </w:rPr>
            </w:pPr>
            <w:r>
              <w:rPr>
                <w:sz w:val="16"/>
              </w:rPr>
              <w:t>Group</w:t>
            </w:r>
            <w:r>
              <w:rPr>
                <w:spacing w:val="-3"/>
                <w:sz w:val="16"/>
              </w:rPr>
              <w:t> </w:t>
            </w:r>
            <w:r>
              <w:rPr>
                <w:sz w:val="16"/>
              </w:rPr>
              <w:t>customers into age</w:t>
            </w:r>
            <w:r>
              <w:rPr>
                <w:spacing w:val="-3"/>
                <w:sz w:val="16"/>
              </w:rPr>
              <w:t> </w:t>
            </w:r>
            <w:r>
              <w:rPr>
                <w:sz w:val="16"/>
              </w:rPr>
              <w:t>groups </w:t>
            </w:r>
            <w:r>
              <w:rPr>
                <w:spacing w:val="-2"/>
                <w:sz w:val="16"/>
              </w:rPr>
              <w:t>each</w:t>
            </w:r>
            <w:r>
              <w:rPr>
                <w:spacing w:val="-5"/>
                <w:sz w:val="16"/>
              </w:rPr>
              <w:t> </w:t>
            </w:r>
            <w:r>
              <w:rPr>
                <w:spacing w:val="-2"/>
                <w:sz w:val="16"/>
              </w:rPr>
              <w:t>year</w:t>
            </w:r>
            <w:r>
              <w:rPr>
                <w:spacing w:val="-3"/>
                <w:sz w:val="16"/>
              </w:rPr>
              <w:t> </w:t>
            </w:r>
            <w:r>
              <w:rPr>
                <w:spacing w:val="-2"/>
                <w:sz w:val="16"/>
              </w:rPr>
              <w:t>and</w:t>
            </w:r>
            <w:r>
              <w:rPr>
                <w:spacing w:val="-10"/>
                <w:sz w:val="16"/>
              </w:rPr>
              <w:t> </w:t>
            </w:r>
            <w:r>
              <w:rPr>
                <w:spacing w:val="-2"/>
                <w:sz w:val="16"/>
              </w:rPr>
              <w:t>calculate</w:t>
            </w:r>
            <w:r>
              <w:rPr>
                <w:spacing w:val="-9"/>
                <w:sz w:val="16"/>
              </w:rPr>
              <w:t> </w:t>
            </w:r>
            <w:r>
              <w:rPr>
                <w:spacing w:val="-2"/>
                <w:sz w:val="16"/>
              </w:rPr>
              <w:t>population </w:t>
            </w:r>
            <w:r>
              <w:rPr>
                <w:sz w:val="16"/>
              </w:rPr>
              <w:t>average age per year.</w:t>
            </w:r>
          </w:p>
        </w:tc>
      </w:tr>
      <w:tr>
        <w:trPr>
          <w:trHeight w:val="2026" w:hRule="atLeast"/>
        </w:trPr>
        <w:tc>
          <w:tcPr>
            <w:tcW w:w="567" w:type="dxa"/>
            <w:shd w:val="clear" w:color="auto" w:fill="E8E8E8"/>
          </w:tcPr>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rPr>
                <w:sz w:val="16"/>
              </w:rPr>
            </w:pPr>
          </w:p>
          <w:p>
            <w:pPr>
              <w:pStyle w:val="TableParagraph"/>
              <w:ind w:left="20"/>
              <w:jc w:val="center"/>
              <w:rPr>
                <w:sz w:val="16"/>
              </w:rPr>
            </w:pPr>
            <w:r>
              <w:rPr>
                <w:spacing w:val="-10"/>
                <w:sz w:val="16"/>
              </w:rPr>
              <w:t>3</w:t>
            </w:r>
          </w:p>
        </w:tc>
        <w:tc>
          <w:tcPr>
            <w:tcW w:w="1095" w:type="dxa"/>
            <w:shd w:val="clear" w:color="auto" w:fill="E8E8E8"/>
          </w:tcPr>
          <w:p>
            <w:pPr>
              <w:pStyle w:val="TableParagraph"/>
              <w:rPr>
                <w:sz w:val="16"/>
              </w:rPr>
            </w:pPr>
          </w:p>
          <w:p>
            <w:pPr>
              <w:pStyle w:val="TableParagraph"/>
              <w:rPr>
                <w:sz w:val="16"/>
              </w:rPr>
            </w:pPr>
          </w:p>
          <w:p>
            <w:pPr>
              <w:pStyle w:val="TableParagraph"/>
              <w:rPr>
                <w:sz w:val="16"/>
              </w:rPr>
            </w:pPr>
          </w:p>
          <w:p>
            <w:pPr>
              <w:pStyle w:val="TableParagraph"/>
              <w:spacing w:before="2"/>
              <w:rPr>
                <w:sz w:val="16"/>
              </w:rPr>
            </w:pPr>
          </w:p>
          <w:p>
            <w:pPr>
              <w:pStyle w:val="TableParagraph"/>
              <w:ind w:left="110" w:right="310"/>
              <w:jc w:val="both"/>
              <w:rPr>
                <w:sz w:val="16"/>
              </w:rPr>
            </w:pPr>
            <w:r>
              <w:rPr>
                <w:spacing w:val="-2"/>
                <w:sz w:val="16"/>
              </w:rPr>
              <w:t>Calculate </w:t>
            </w:r>
            <w:r>
              <w:rPr>
                <w:sz w:val="16"/>
              </w:rPr>
              <w:t>costs</w:t>
            </w:r>
            <w:r>
              <w:rPr>
                <w:spacing w:val="-12"/>
                <w:sz w:val="16"/>
              </w:rPr>
              <w:t> </w:t>
            </w:r>
            <w:r>
              <w:rPr>
                <w:sz w:val="16"/>
              </w:rPr>
              <w:t>per </w:t>
            </w:r>
            <w:r>
              <w:rPr>
                <w:spacing w:val="-4"/>
                <w:sz w:val="16"/>
              </w:rPr>
              <w:t>year</w:t>
            </w:r>
          </w:p>
        </w:tc>
        <w:tc>
          <w:tcPr>
            <w:tcW w:w="1436" w:type="dxa"/>
            <w:shd w:val="clear" w:color="auto" w:fill="E8E8E8"/>
          </w:tcPr>
          <w:p>
            <w:pPr>
              <w:pStyle w:val="TableParagraph"/>
              <w:spacing w:line="244" w:lineRule="auto"/>
              <w:ind w:left="114" w:right="170"/>
              <w:rPr>
                <w:sz w:val="16"/>
              </w:rPr>
            </w:pPr>
            <w:r>
              <w:rPr>
                <w:spacing w:val="-2"/>
                <w:sz w:val="16"/>
              </w:rPr>
              <w:t>2024</w:t>
            </w:r>
            <w:r>
              <w:rPr>
                <w:spacing w:val="-15"/>
                <w:sz w:val="16"/>
              </w:rPr>
              <w:t> </w:t>
            </w:r>
            <w:r>
              <w:rPr>
                <w:spacing w:val="-2"/>
                <w:sz w:val="16"/>
              </w:rPr>
              <w:t>base</w:t>
            </w:r>
            <w:r>
              <w:rPr>
                <w:spacing w:val="-17"/>
                <w:sz w:val="16"/>
              </w:rPr>
              <w:t> </w:t>
            </w:r>
            <w:r>
              <w:rPr>
                <w:spacing w:val="-2"/>
                <w:sz w:val="16"/>
              </w:rPr>
              <w:t>cost </w:t>
            </w:r>
            <w:r>
              <w:rPr>
                <w:sz w:val="16"/>
              </w:rPr>
              <w:t>per customer</w:t>
            </w:r>
          </w:p>
          <w:p>
            <w:pPr>
              <w:pStyle w:val="TableParagraph"/>
              <w:spacing w:line="249" w:lineRule="auto" w:before="171"/>
              <w:ind w:left="114" w:right="170"/>
              <w:rPr>
                <w:sz w:val="16"/>
              </w:rPr>
            </w:pPr>
            <w:r>
              <w:rPr>
                <w:sz w:val="16"/>
              </w:rPr>
              <w:t>Age</w:t>
            </w:r>
            <w:r>
              <w:rPr>
                <w:spacing w:val="-12"/>
                <w:sz w:val="16"/>
              </w:rPr>
              <w:t> </w:t>
            </w:r>
            <w:r>
              <w:rPr>
                <w:sz w:val="16"/>
              </w:rPr>
              <w:t>care </w:t>
            </w:r>
            <w:r>
              <w:rPr>
                <w:spacing w:val="-2"/>
                <w:sz w:val="16"/>
              </w:rPr>
              <w:t>inflation</w:t>
            </w:r>
            <w:r>
              <w:rPr>
                <w:spacing w:val="-12"/>
                <w:sz w:val="16"/>
              </w:rPr>
              <w:t> </w:t>
            </w:r>
            <w:r>
              <w:rPr>
                <w:spacing w:val="-2"/>
                <w:sz w:val="16"/>
              </w:rPr>
              <w:t>(2017</w:t>
            </w:r>
            <w:r>
              <w:rPr>
                <w:spacing w:val="-12"/>
                <w:sz w:val="16"/>
              </w:rPr>
              <w:t> </w:t>
            </w:r>
            <w:r>
              <w:rPr>
                <w:spacing w:val="-2"/>
                <w:sz w:val="16"/>
              </w:rPr>
              <w:t>–</w:t>
            </w:r>
          </w:p>
          <w:p>
            <w:pPr>
              <w:pStyle w:val="TableParagraph"/>
              <w:spacing w:line="176" w:lineRule="exact"/>
              <w:ind w:left="114"/>
              <w:rPr>
                <w:sz w:val="16"/>
              </w:rPr>
            </w:pPr>
            <w:r>
              <w:rPr>
                <w:spacing w:val="-2"/>
                <w:sz w:val="16"/>
              </w:rPr>
              <w:t>2024)</w:t>
            </w:r>
          </w:p>
          <w:p>
            <w:pPr>
              <w:pStyle w:val="TableParagraph"/>
              <w:spacing w:before="181"/>
              <w:ind w:left="114" w:right="104"/>
              <w:rPr>
                <w:sz w:val="16"/>
              </w:rPr>
            </w:pPr>
            <w:r>
              <w:rPr>
                <w:spacing w:val="-2"/>
                <w:sz w:val="16"/>
              </w:rPr>
              <w:t>Rate</w:t>
            </w:r>
            <w:r>
              <w:rPr>
                <w:spacing w:val="-13"/>
                <w:sz w:val="16"/>
              </w:rPr>
              <w:t> </w:t>
            </w:r>
            <w:r>
              <w:rPr>
                <w:spacing w:val="-2"/>
                <w:sz w:val="16"/>
              </w:rPr>
              <w:t>of</w:t>
            </w:r>
            <w:r>
              <w:rPr>
                <w:spacing w:val="-10"/>
                <w:sz w:val="16"/>
              </w:rPr>
              <w:t> </w:t>
            </w:r>
            <w:r>
              <w:rPr>
                <w:spacing w:val="-2"/>
                <w:sz w:val="16"/>
              </w:rPr>
              <w:t>increase </w:t>
            </w:r>
            <w:r>
              <w:rPr>
                <w:sz w:val="16"/>
              </w:rPr>
              <w:t>in use of age care (2017 –</w:t>
            </w:r>
          </w:p>
          <w:p>
            <w:pPr>
              <w:pStyle w:val="TableParagraph"/>
              <w:spacing w:line="169" w:lineRule="exact"/>
              <w:ind w:left="114"/>
              <w:rPr>
                <w:sz w:val="16"/>
              </w:rPr>
            </w:pPr>
            <w:r>
              <w:rPr>
                <w:spacing w:val="-2"/>
                <w:sz w:val="16"/>
              </w:rPr>
              <w:t>2024)</w:t>
            </w:r>
          </w:p>
        </w:tc>
        <w:tc>
          <w:tcPr>
            <w:tcW w:w="3140" w:type="dxa"/>
            <w:shd w:val="clear" w:color="auto" w:fill="E8E8E8"/>
          </w:tcPr>
          <w:p>
            <w:pPr>
              <w:pStyle w:val="TableParagraph"/>
              <w:spacing w:line="242" w:lineRule="auto" w:before="94"/>
              <w:ind w:left="109" w:right="202"/>
              <w:rPr>
                <w:sz w:val="16"/>
              </w:rPr>
            </w:pPr>
            <w:r>
              <w:rPr>
                <w:sz w:val="16"/>
              </w:rPr>
              <w:t>Rate of increase in use of age care is linked</w:t>
            </w:r>
            <w:r>
              <w:rPr>
                <w:spacing w:val="-12"/>
                <w:sz w:val="16"/>
              </w:rPr>
              <w:t> </w:t>
            </w:r>
            <w:r>
              <w:rPr>
                <w:sz w:val="16"/>
              </w:rPr>
              <w:t>to</w:t>
            </w:r>
            <w:r>
              <w:rPr>
                <w:spacing w:val="-11"/>
                <w:sz w:val="16"/>
              </w:rPr>
              <w:t> </w:t>
            </w:r>
            <w:r>
              <w:rPr>
                <w:sz w:val="16"/>
              </w:rPr>
              <w:t>a</w:t>
            </w:r>
            <w:r>
              <w:rPr>
                <w:spacing w:val="-11"/>
                <w:sz w:val="16"/>
              </w:rPr>
              <w:t> </w:t>
            </w:r>
            <w:r>
              <w:rPr>
                <w:sz w:val="16"/>
              </w:rPr>
              <w:t>unit</w:t>
            </w:r>
            <w:r>
              <w:rPr>
                <w:spacing w:val="-11"/>
                <w:sz w:val="16"/>
              </w:rPr>
              <w:t> </w:t>
            </w:r>
            <w:r>
              <w:rPr>
                <w:sz w:val="16"/>
              </w:rPr>
              <w:t>increase</w:t>
            </w:r>
            <w:r>
              <w:rPr>
                <w:spacing w:val="-12"/>
                <w:sz w:val="16"/>
              </w:rPr>
              <w:t> </w:t>
            </w:r>
            <w:r>
              <w:rPr>
                <w:sz w:val="16"/>
              </w:rPr>
              <w:t>in</w:t>
            </w:r>
            <w:r>
              <w:rPr>
                <w:spacing w:val="-11"/>
                <w:sz w:val="16"/>
              </w:rPr>
              <w:t> </w:t>
            </w:r>
            <w:r>
              <w:rPr>
                <w:sz w:val="16"/>
              </w:rPr>
              <w:t>average</w:t>
            </w:r>
            <w:r>
              <w:rPr>
                <w:spacing w:val="-11"/>
                <w:sz w:val="16"/>
              </w:rPr>
              <w:t> </w:t>
            </w:r>
            <w:r>
              <w:rPr>
                <w:sz w:val="16"/>
              </w:rPr>
              <w:t>age of population.</w:t>
            </w:r>
          </w:p>
          <w:p>
            <w:pPr>
              <w:pStyle w:val="TableParagraph"/>
              <w:spacing w:before="178"/>
              <w:ind w:left="109" w:right="496"/>
              <w:jc w:val="both"/>
              <w:rPr>
                <w:sz w:val="16"/>
              </w:rPr>
            </w:pPr>
            <w:r>
              <w:rPr>
                <w:sz w:val="16"/>
              </w:rPr>
              <w:t>Costs</w:t>
            </w:r>
            <w:r>
              <w:rPr>
                <w:spacing w:val="-2"/>
                <w:sz w:val="16"/>
              </w:rPr>
              <w:t> </w:t>
            </w:r>
            <w:r>
              <w:rPr>
                <w:sz w:val="16"/>
              </w:rPr>
              <w:t>rise</w:t>
            </w:r>
            <w:r>
              <w:rPr>
                <w:spacing w:val="-7"/>
                <w:sz w:val="16"/>
              </w:rPr>
              <w:t> </w:t>
            </w:r>
            <w:r>
              <w:rPr>
                <w:sz w:val="16"/>
              </w:rPr>
              <w:t>with</w:t>
            </w:r>
            <w:r>
              <w:rPr>
                <w:spacing w:val="-2"/>
                <w:sz w:val="16"/>
              </w:rPr>
              <w:t> </w:t>
            </w:r>
            <w:r>
              <w:rPr>
                <w:sz w:val="16"/>
              </w:rPr>
              <w:t>age</w:t>
            </w:r>
            <w:r>
              <w:rPr>
                <w:spacing w:val="-6"/>
                <w:sz w:val="16"/>
              </w:rPr>
              <w:t> </w:t>
            </w:r>
            <w:r>
              <w:rPr>
                <w:sz w:val="16"/>
              </w:rPr>
              <w:t>(Lowest:</w:t>
            </w:r>
            <w:r>
              <w:rPr>
                <w:spacing w:val="-1"/>
                <w:sz w:val="16"/>
              </w:rPr>
              <w:t> </w:t>
            </w:r>
            <w:r>
              <w:rPr>
                <w:sz w:val="16"/>
              </w:rPr>
              <w:t>60-69; </w:t>
            </w:r>
            <w:r>
              <w:rPr>
                <w:spacing w:val="-2"/>
                <w:sz w:val="16"/>
              </w:rPr>
              <w:t>Highest:</w:t>
            </w:r>
            <w:r>
              <w:rPr>
                <w:spacing w:val="-7"/>
                <w:sz w:val="16"/>
              </w:rPr>
              <w:t> </w:t>
            </w:r>
            <w:r>
              <w:rPr>
                <w:spacing w:val="-2"/>
                <w:sz w:val="16"/>
              </w:rPr>
              <w:t>90-120).</w:t>
            </w:r>
            <w:r>
              <w:rPr>
                <w:spacing w:val="-10"/>
                <w:sz w:val="16"/>
              </w:rPr>
              <w:t> </w:t>
            </w:r>
            <w:r>
              <w:rPr>
                <w:spacing w:val="-2"/>
                <w:sz w:val="16"/>
              </w:rPr>
              <w:t>Ages 90-120</w:t>
            </w:r>
            <w:r>
              <w:rPr>
                <w:spacing w:val="-10"/>
                <w:sz w:val="16"/>
              </w:rPr>
              <w:t> </w:t>
            </w:r>
            <w:r>
              <w:rPr>
                <w:spacing w:val="-2"/>
                <w:sz w:val="16"/>
              </w:rPr>
              <w:t>have </w:t>
            </w:r>
            <w:r>
              <w:rPr>
                <w:sz w:val="16"/>
              </w:rPr>
              <w:t>base cost of $10,000.</w:t>
            </w:r>
          </w:p>
          <w:p>
            <w:pPr>
              <w:pStyle w:val="TableParagraph"/>
              <w:spacing w:line="244" w:lineRule="auto" w:before="182"/>
              <w:ind w:left="109" w:right="388"/>
              <w:rPr>
                <w:sz w:val="16"/>
              </w:rPr>
            </w:pPr>
            <w:r>
              <w:rPr>
                <w:sz w:val="16"/>
              </w:rPr>
              <w:t>Costs</w:t>
            </w:r>
            <w:r>
              <w:rPr>
                <w:spacing w:val="-12"/>
                <w:sz w:val="16"/>
              </w:rPr>
              <w:t> </w:t>
            </w:r>
            <w:r>
              <w:rPr>
                <w:sz w:val="16"/>
              </w:rPr>
              <w:t>increase</w:t>
            </w:r>
            <w:r>
              <w:rPr>
                <w:spacing w:val="-12"/>
                <w:sz w:val="16"/>
              </w:rPr>
              <w:t> </w:t>
            </w:r>
            <w:r>
              <w:rPr>
                <w:sz w:val="16"/>
              </w:rPr>
              <w:t>due</w:t>
            </w:r>
            <w:r>
              <w:rPr>
                <w:spacing w:val="-18"/>
                <w:sz w:val="16"/>
              </w:rPr>
              <w:t> </w:t>
            </w:r>
            <w:r>
              <w:rPr>
                <w:sz w:val="16"/>
              </w:rPr>
              <w:t>to</w:t>
            </w:r>
            <w:r>
              <w:rPr>
                <w:spacing w:val="-13"/>
                <w:sz w:val="16"/>
              </w:rPr>
              <w:t> </w:t>
            </w:r>
            <w:r>
              <w:rPr>
                <w:sz w:val="16"/>
              </w:rPr>
              <w:t>inflation</w:t>
            </w:r>
            <w:r>
              <w:rPr>
                <w:spacing w:val="-11"/>
                <w:sz w:val="16"/>
              </w:rPr>
              <w:t> </w:t>
            </w:r>
            <w:r>
              <w:rPr>
                <w:sz w:val="16"/>
              </w:rPr>
              <w:t>and </w:t>
            </w:r>
            <w:r>
              <w:rPr>
                <w:spacing w:val="-2"/>
                <w:sz w:val="16"/>
              </w:rPr>
              <w:t>ageing.</w:t>
            </w:r>
          </w:p>
        </w:tc>
        <w:tc>
          <w:tcPr>
            <w:tcW w:w="2786" w:type="dxa"/>
            <w:shd w:val="clear" w:color="auto" w:fill="E8E8E8"/>
          </w:tcPr>
          <w:p>
            <w:pPr>
              <w:pStyle w:val="TableParagraph"/>
              <w:spacing w:before="94"/>
              <w:ind w:left="105" w:right="491"/>
              <w:rPr>
                <w:sz w:val="16"/>
              </w:rPr>
            </w:pPr>
            <w:r>
              <w:rPr>
                <w:sz w:val="16"/>
              </w:rPr>
              <w:t>Use</w:t>
            </w:r>
            <w:r>
              <w:rPr>
                <w:spacing w:val="-17"/>
                <w:sz w:val="16"/>
              </w:rPr>
              <w:t> </w:t>
            </w:r>
            <w:r>
              <w:rPr>
                <w:sz w:val="16"/>
              </w:rPr>
              <w:t>Excel</w:t>
            </w:r>
            <w:r>
              <w:rPr>
                <w:spacing w:val="-13"/>
                <w:sz w:val="16"/>
              </w:rPr>
              <w:t> </w:t>
            </w:r>
            <w:r>
              <w:rPr>
                <w:sz w:val="16"/>
              </w:rPr>
              <w:t>SOLVER</w:t>
            </w:r>
            <w:r>
              <w:rPr>
                <w:spacing w:val="-12"/>
                <w:sz w:val="16"/>
              </w:rPr>
              <w:t> </w:t>
            </w:r>
            <w:r>
              <w:rPr>
                <w:sz w:val="16"/>
              </w:rPr>
              <w:t>to</w:t>
            </w:r>
            <w:r>
              <w:rPr>
                <w:spacing w:val="-18"/>
                <w:sz w:val="16"/>
              </w:rPr>
              <w:t> </w:t>
            </w:r>
            <w:r>
              <w:rPr>
                <w:sz w:val="16"/>
              </w:rPr>
              <w:t>find</w:t>
            </w:r>
            <w:r>
              <w:rPr>
                <w:spacing w:val="-13"/>
                <w:sz w:val="16"/>
              </w:rPr>
              <w:t> </w:t>
            </w:r>
            <w:r>
              <w:rPr>
                <w:sz w:val="16"/>
              </w:rPr>
              <w:t>cost weights per age group.</w:t>
            </w:r>
          </w:p>
          <w:p>
            <w:pPr>
              <w:pStyle w:val="TableParagraph"/>
              <w:spacing w:before="1"/>
              <w:rPr>
                <w:sz w:val="16"/>
              </w:rPr>
            </w:pPr>
          </w:p>
          <w:p>
            <w:pPr>
              <w:pStyle w:val="TableParagraph"/>
              <w:ind w:left="105" w:right="332"/>
              <w:rPr>
                <w:sz w:val="16"/>
              </w:rPr>
            </w:pPr>
            <w:r>
              <w:rPr>
                <w:sz w:val="16"/>
              </w:rPr>
              <w:t>Calculate T+1 costs = T * (1 + inflation)</w:t>
            </w:r>
            <w:r>
              <w:rPr>
                <w:spacing w:val="-12"/>
                <w:sz w:val="16"/>
              </w:rPr>
              <w:t> </w:t>
            </w:r>
            <w:r>
              <w:rPr>
                <w:sz w:val="16"/>
              </w:rPr>
              <w:t>x</w:t>
            </w:r>
            <w:r>
              <w:rPr>
                <w:spacing w:val="-14"/>
                <w:sz w:val="16"/>
              </w:rPr>
              <w:t> </w:t>
            </w:r>
            <w:r>
              <w:rPr>
                <w:sz w:val="16"/>
              </w:rPr>
              <w:t>(1</w:t>
            </w:r>
            <w:r>
              <w:rPr>
                <w:spacing w:val="-11"/>
                <w:sz w:val="16"/>
              </w:rPr>
              <w:t> </w:t>
            </w:r>
            <w:r>
              <w:rPr>
                <w:sz w:val="16"/>
              </w:rPr>
              <w:t>+</w:t>
            </w:r>
            <w:r>
              <w:rPr>
                <w:spacing w:val="-11"/>
                <w:sz w:val="16"/>
              </w:rPr>
              <w:t> </w:t>
            </w:r>
            <w:r>
              <w:rPr>
                <w:sz w:val="16"/>
              </w:rPr>
              <w:t>rate</w:t>
            </w:r>
            <w:r>
              <w:rPr>
                <w:spacing w:val="-11"/>
                <w:sz w:val="16"/>
              </w:rPr>
              <w:t> </w:t>
            </w:r>
            <w:r>
              <w:rPr>
                <w:sz w:val="16"/>
              </w:rPr>
              <w:t>of</w:t>
            </w:r>
            <w:r>
              <w:rPr>
                <w:spacing w:val="-9"/>
                <w:sz w:val="16"/>
              </w:rPr>
              <w:t> </w:t>
            </w:r>
            <w:r>
              <w:rPr>
                <w:sz w:val="16"/>
              </w:rPr>
              <w:t>increase</w:t>
            </w:r>
            <w:r>
              <w:rPr>
                <w:spacing w:val="-11"/>
                <w:sz w:val="16"/>
              </w:rPr>
              <w:t> </w:t>
            </w:r>
            <w:r>
              <w:rPr>
                <w:sz w:val="16"/>
              </w:rPr>
              <w:t>in use of age care) ^ (change in average</w:t>
            </w:r>
            <w:r>
              <w:rPr>
                <w:spacing w:val="-12"/>
                <w:sz w:val="16"/>
              </w:rPr>
              <w:t> </w:t>
            </w:r>
            <w:r>
              <w:rPr>
                <w:sz w:val="16"/>
              </w:rPr>
              <w:t>age)</w:t>
            </w:r>
            <w:r>
              <w:rPr>
                <w:spacing w:val="-11"/>
                <w:sz w:val="16"/>
              </w:rPr>
              <w:t> </w:t>
            </w:r>
            <w:r>
              <w:rPr>
                <w:sz w:val="16"/>
              </w:rPr>
              <w:t>for</w:t>
            </w:r>
            <w:r>
              <w:rPr>
                <w:spacing w:val="-11"/>
                <w:sz w:val="16"/>
              </w:rPr>
              <w:t> </w:t>
            </w:r>
            <w:r>
              <w:rPr>
                <w:sz w:val="16"/>
              </w:rPr>
              <w:t>each</w:t>
            </w:r>
            <w:r>
              <w:rPr>
                <w:spacing w:val="-11"/>
                <w:sz w:val="16"/>
              </w:rPr>
              <w:t> </w:t>
            </w:r>
            <w:r>
              <w:rPr>
                <w:sz w:val="16"/>
              </w:rPr>
              <w:t>age</w:t>
            </w:r>
            <w:r>
              <w:rPr>
                <w:spacing w:val="-11"/>
                <w:sz w:val="16"/>
              </w:rPr>
              <w:t> </w:t>
            </w:r>
            <w:r>
              <w:rPr>
                <w:sz w:val="16"/>
              </w:rPr>
              <w:t>group.</w:t>
            </w:r>
          </w:p>
          <w:p>
            <w:pPr>
              <w:pStyle w:val="TableParagraph"/>
              <w:spacing w:line="244" w:lineRule="auto" w:before="181"/>
              <w:ind w:left="105" w:right="456"/>
              <w:rPr>
                <w:sz w:val="16"/>
              </w:rPr>
            </w:pPr>
            <w:r>
              <w:rPr>
                <w:sz w:val="16"/>
              </w:rPr>
              <w:t>Multiply</w:t>
            </w:r>
            <w:r>
              <w:rPr>
                <w:spacing w:val="-18"/>
                <w:sz w:val="16"/>
              </w:rPr>
              <w:t> </w:t>
            </w:r>
            <w:r>
              <w:rPr>
                <w:sz w:val="16"/>
              </w:rPr>
              <w:t>cost</w:t>
            </w:r>
            <w:r>
              <w:rPr>
                <w:spacing w:val="-12"/>
                <w:sz w:val="16"/>
              </w:rPr>
              <w:t> </w:t>
            </w:r>
            <w:r>
              <w:rPr>
                <w:sz w:val="16"/>
              </w:rPr>
              <w:t>per</w:t>
            </w:r>
            <w:r>
              <w:rPr>
                <w:spacing w:val="-11"/>
                <w:sz w:val="16"/>
              </w:rPr>
              <w:t> </w:t>
            </w:r>
            <w:r>
              <w:rPr>
                <w:sz w:val="16"/>
              </w:rPr>
              <w:t>age</w:t>
            </w:r>
            <w:r>
              <w:rPr>
                <w:spacing w:val="-13"/>
                <w:sz w:val="16"/>
              </w:rPr>
              <w:t> </w:t>
            </w:r>
            <w:r>
              <w:rPr>
                <w:sz w:val="16"/>
              </w:rPr>
              <w:t>group</w:t>
            </w:r>
            <w:r>
              <w:rPr>
                <w:spacing w:val="-11"/>
                <w:sz w:val="16"/>
              </w:rPr>
              <w:t> </w:t>
            </w:r>
            <w:r>
              <w:rPr>
                <w:sz w:val="16"/>
              </w:rPr>
              <w:t>with population</w:t>
            </w:r>
            <w:r>
              <w:rPr>
                <w:spacing w:val="-11"/>
                <w:sz w:val="16"/>
              </w:rPr>
              <w:t> </w:t>
            </w:r>
            <w:r>
              <w:rPr>
                <w:sz w:val="16"/>
              </w:rPr>
              <w:t>to</w:t>
            </w:r>
            <w:r>
              <w:rPr>
                <w:spacing w:val="-6"/>
                <w:sz w:val="16"/>
              </w:rPr>
              <w:t> </w:t>
            </w:r>
            <w:r>
              <w:rPr>
                <w:sz w:val="16"/>
              </w:rPr>
              <w:t>get</w:t>
            </w:r>
            <w:r>
              <w:rPr>
                <w:spacing w:val="-5"/>
                <w:sz w:val="16"/>
              </w:rPr>
              <w:t> </w:t>
            </w:r>
            <w:r>
              <w:rPr>
                <w:sz w:val="16"/>
              </w:rPr>
              <w:t>cash</w:t>
            </w:r>
            <w:r>
              <w:rPr>
                <w:spacing w:val="-7"/>
                <w:sz w:val="16"/>
              </w:rPr>
              <w:t> </w:t>
            </w:r>
            <w:r>
              <w:rPr>
                <w:spacing w:val="-2"/>
                <w:sz w:val="16"/>
              </w:rPr>
              <w:t>outflows.</w:t>
            </w:r>
          </w:p>
        </w:tc>
      </w:tr>
      <w:tr>
        <w:trPr>
          <w:trHeight w:val="551" w:hRule="atLeast"/>
        </w:trPr>
        <w:tc>
          <w:tcPr>
            <w:tcW w:w="567" w:type="dxa"/>
          </w:tcPr>
          <w:p>
            <w:pPr>
              <w:pStyle w:val="TableParagraph"/>
              <w:spacing w:before="181"/>
              <w:ind w:left="20"/>
              <w:jc w:val="center"/>
              <w:rPr>
                <w:sz w:val="16"/>
              </w:rPr>
            </w:pPr>
            <w:r>
              <w:rPr>
                <w:spacing w:val="-10"/>
                <w:sz w:val="16"/>
              </w:rPr>
              <w:t>4</w:t>
            </w:r>
          </w:p>
        </w:tc>
        <w:tc>
          <w:tcPr>
            <w:tcW w:w="1095" w:type="dxa"/>
          </w:tcPr>
          <w:p>
            <w:pPr>
              <w:pStyle w:val="TableParagraph"/>
              <w:spacing w:line="183" w:lineRule="exact"/>
              <w:ind w:left="110"/>
              <w:rPr>
                <w:sz w:val="16"/>
              </w:rPr>
            </w:pPr>
            <w:r>
              <w:rPr>
                <w:spacing w:val="-2"/>
                <w:sz w:val="16"/>
              </w:rPr>
              <w:t>Project</w:t>
            </w:r>
          </w:p>
          <w:p>
            <w:pPr>
              <w:pStyle w:val="TableParagraph"/>
              <w:spacing w:line="168" w:lineRule="exact" w:before="13"/>
              <w:ind w:left="110" w:right="295"/>
              <w:rPr>
                <w:sz w:val="16"/>
              </w:rPr>
            </w:pPr>
            <w:r>
              <w:rPr>
                <w:spacing w:val="-2"/>
                <w:sz w:val="16"/>
              </w:rPr>
              <w:t>customer entry</w:t>
            </w:r>
            <w:r>
              <w:rPr>
                <w:spacing w:val="-9"/>
                <w:sz w:val="16"/>
              </w:rPr>
              <w:t> </w:t>
            </w:r>
            <w:r>
              <w:rPr>
                <w:spacing w:val="-6"/>
                <w:sz w:val="16"/>
              </w:rPr>
              <w:t>fees</w:t>
            </w:r>
          </w:p>
        </w:tc>
        <w:tc>
          <w:tcPr>
            <w:tcW w:w="1436" w:type="dxa"/>
          </w:tcPr>
          <w:p>
            <w:pPr>
              <w:pStyle w:val="TableParagraph"/>
              <w:spacing w:line="182" w:lineRule="exact"/>
              <w:ind w:left="114"/>
              <w:rPr>
                <w:sz w:val="16"/>
              </w:rPr>
            </w:pPr>
            <w:r>
              <w:rPr>
                <w:sz w:val="16"/>
              </w:rPr>
              <w:t>2024</w:t>
            </w:r>
            <w:r>
              <w:rPr>
                <w:spacing w:val="-1"/>
                <w:sz w:val="16"/>
              </w:rPr>
              <w:t> </w:t>
            </w:r>
            <w:r>
              <w:rPr>
                <w:sz w:val="16"/>
              </w:rPr>
              <w:t>entry</w:t>
            </w:r>
            <w:r>
              <w:rPr>
                <w:spacing w:val="-10"/>
                <w:sz w:val="16"/>
              </w:rPr>
              <w:t> </w:t>
            </w:r>
            <w:r>
              <w:rPr>
                <w:sz w:val="16"/>
              </w:rPr>
              <w:t>fee</w:t>
            </w:r>
            <w:r>
              <w:rPr>
                <w:spacing w:val="-8"/>
                <w:sz w:val="16"/>
              </w:rPr>
              <w:t> </w:t>
            </w:r>
            <w:r>
              <w:rPr>
                <w:spacing w:val="-10"/>
                <w:sz w:val="16"/>
              </w:rPr>
              <w:t>=</w:t>
            </w:r>
          </w:p>
          <w:p>
            <w:pPr>
              <w:pStyle w:val="TableParagraph"/>
              <w:spacing w:line="172" w:lineRule="exact" w:before="6"/>
              <w:ind w:left="114" w:right="593"/>
              <w:rPr>
                <w:sz w:val="16"/>
              </w:rPr>
            </w:pPr>
            <w:r>
              <w:rPr>
                <w:spacing w:val="-4"/>
                <w:sz w:val="16"/>
              </w:rPr>
              <w:t>$100K</w:t>
            </w:r>
            <w:r>
              <w:rPr>
                <w:spacing w:val="-8"/>
                <w:sz w:val="16"/>
              </w:rPr>
              <w:t> </w:t>
            </w:r>
            <w:r>
              <w:rPr>
                <w:spacing w:val="-4"/>
                <w:sz w:val="16"/>
              </w:rPr>
              <w:t>per </w:t>
            </w:r>
            <w:r>
              <w:rPr>
                <w:spacing w:val="-2"/>
                <w:sz w:val="16"/>
              </w:rPr>
              <w:t>entrant</w:t>
            </w:r>
          </w:p>
        </w:tc>
        <w:tc>
          <w:tcPr>
            <w:tcW w:w="3140" w:type="dxa"/>
          </w:tcPr>
          <w:p>
            <w:pPr>
              <w:pStyle w:val="TableParagraph"/>
              <w:spacing w:before="181"/>
              <w:ind w:left="109"/>
              <w:rPr>
                <w:sz w:val="16"/>
              </w:rPr>
            </w:pPr>
            <w:r>
              <w:rPr>
                <w:sz w:val="16"/>
              </w:rPr>
              <w:t>Entry</w:t>
            </w:r>
            <w:r>
              <w:rPr>
                <w:spacing w:val="-11"/>
                <w:sz w:val="16"/>
              </w:rPr>
              <w:t> </w:t>
            </w:r>
            <w:r>
              <w:rPr>
                <w:sz w:val="16"/>
              </w:rPr>
              <w:t>fees rise</w:t>
            </w:r>
            <w:r>
              <w:rPr>
                <w:spacing w:val="-8"/>
                <w:sz w:val="16"/>
              </w:rPr>
              <w:t> </w:t>
            </w:r>
            <w:r>
              <w:rPr>
                <w:sz w:val="16"/>
              </w:rPr>
              <w:t>with</w:t>
            </w:r>
            <w:r>
              <w:rPr>
                <w:spacing w:val="1"/>
                <w:sz w:val="16"/>
              </w:rPr>
              <w:t> </w:t>
            </w:r>
            <w:r>
              <w:rPr>
                <w:sz w:val="16"/>
              </w:rPr>
              <w:t>age</w:t>
            </w:r>
            <w:r>
              <w:rPr>
                <w:spacing w:val="-9"/>
                <w:sz w:val="16"/>
              </w:rPr>
              <w:t> </w:t>
            </w:r>
            <w:r>
              <w:rPr>
                <w:sz w:val="16"/>
              </w:rPr>
              <w:t>care</w:t>
            </w:r>
            <w:r>
              <w:rPr>
                <w:spacing w:val="-8"/>
                <w:sz w:val="16"/>
              </w:rPr>
              <w:t> </w:t>
            </w:r>
            <w:r>
              <w:rPr>
                <w:spacing w:val="-2"/>
                <w:sz w:val="16"/>
              </w:rPr>
              <w:t>inflation.</w:t>
            </w:r>
          </w:p>
        </w:tc>
        <w:tc>
          <w:tcPr>
            <w:tcW w:w="2786" w:type="dxa"/>
          </w:tcPr>
          <w:p>
            <w:pPr>
              <w:pStyle w:val="TableParagraph"/>
              <w:spacing w:line="244" w:lineRule="auto" w:before="89"/>
              <w:ind w:left="105" w:right="189"/>
              <w:rPr>
                <w:sz w:val="16"/>
              </w:rPr>
            </w:pPr>
            <w:r>
              <w:rPr>
                <w:sz w:val="16"/>
              </w:rPr>
              <w:t>Cash</w:t>
            </w:r>
            <w:r>
              <w:rPr>
                <w:spacing w:val="-12"/>
                <w:sz w:val="16"/>
              </w:rPr>
              <w:t> </w:t>
            </w:r>
            <w:r>
              <w:rPr>
                <w:sz w:val="16"/>
              </w:rPr>
              <w:t>inflow</w:t>
            </w:r>
            <w:r>
              <w:rPr>
                <w:spacing w:val="-11"/>
                <w:sz w:val="16"/>
              </w:rPr>
              <w:t> </w:t>
            </w:r>
            <w:r>
              <w:rPr>
                <w:sz w:val="16"/>
              </w:rPr>
              <w:t>=</w:t>
            </w:r>
            <w:r>
              <w:rPr>
                <w:spacing w:val="-11"/>
                <w:sz w:val="16"/>
              </w:rPr>
              <w:t> </w:t>
            </w:r>
            <w:r>
              <w:rPr>
                <w:sz w:val="16"/>
              </w:rPr>
              <w:t>entry</w:t>
            </w:r>
            <w:r>
              <w:rPr>
                <w:spacing w:val="-18"/>
                <w:sz w:val="16"/>
              </w:rPr>
              <w:t> </w:t>
            </w:r>
            <w:r>
              <w:rPr>
                <w:sz w:val="16"/>
              </w:rPr>
              <w:t>fee</w:t>
            </w:r>
            <w:r>
              <w:rPr>
                <w:spacing w:val="-11"/>
                <w:sz w:val="16"/>
              </w:rPr>
              <w:t> </w:t>
            </w:r>
            <w:r>
              <w:rPr>
                <w:sz w:val="16"/>
              </w:rPr>
              <w:t>x</w:t>
            </w:r>
            <w:r>
              <w:rPr>
                <w:spacing w:val="-11"/>
                <w:sz w:val="16"/>
              </w:rPr>
              <w:t> </w:t>
            </w:r>
            <w:r>
              <w:rPr>
                <w:sz w:val="16"/>
              </w:rPr>
              <w:t>new </w:t>
            </w:r>
            <w:r>
              <w:rPr>
                <w:spacing w:val="-2"/>
                <w:sz w:val="16"/>
              </w:rPr>
              <w:t>entrants</w:t>
            </w:r>
          </w:p>
        </w:tc>
      </w:tr>
      <w:tr>
        <w:trPr>
          <w:trHeight w:val="738" w:hRule="atLeast"/>
        </w:trPr>
        <w:tc>
          <w:tcPr>
            <w:tcW w:w="567" w:type="dxa"/>
            <w:shd w:val="clear" w:color="auto" w:fill="E8E8E8"/>
          </w:tcPr>
          <w:p>
            <w:pPr>
              <w:pStyle w:val="TableParagraph"/>
              <w:spacing w:before="92"/>
              <w:rPr>
                <w:sz w:val="16"/>
              </w:rPr>
            </w:pPr>
          </w:p>
          <w:p>
            <w:pPr>
              <w:pStyle w:val="TableParagraph"/>
              <w:spacing w:before="1"/>
              <w:ind w:left="20"/>
              <w:jc w:val="center"/>
              <w:rPr>
                <w:sz w:val="16"/>
              </w:rPr>
            </w:pPr>
            <w:r>
              <w:rPr>
                <w:spacing w:val="-10"/>
                <w:sz w:val="16"/>
              </w:rPr>
              <w:t>5</w:t>
            </w:r>
          </w:p>
        </w:tc>
        <w:tc>
          <w:tcPr>
            <w:tcW w:w="1095" w:type="dxa"/>
            <w:shd w:val="clear" w:color="auto" w:fill="E8E8E8"/>
          </w:tcPr>
          <w:p>
            <w:pPr>
              <w:pStyle w:val="TableParagraph"/>
              <w:spacing w:before="89"/>
              <w:ind w:left="110" w:right="305"/>
              <w:rPr>
                <w:sz w:val="16"/>
              </w:rPr>
            </w:pPr>
            <w:r>
              <w:rPr>
                <w:spacing w:val="-2"/>
                <w:sz w:val="16"/>
              </w:rPr>
              <w:t>Calculate </w:t>
            </w:r>
            <w:r>
              <w:rPr>
                <w:spacing w:val="-4"/>
                <w:sz w:val="16"/>
              </w:rPr>
              <w:t>net </w:t>
            </w:r>
            <w:r>
              <w:rPr>
                <w:spacing w:val="-6"/>
                <w:sz w:val="16"/>
              </w:rPr>
              <w:t>cashflows</w:t>
            </w:r>
          </w:p>
        </w:tc>
        <w:tc>
          <w:tcPr>
            <w:tcW w:w="1436" w:type="dxa"/>
            <w:shd w:val="clear" w:color="auto" w:fill="E8E8E8"/>
          </w:tcPr>
          <w:p>
            <w:pPr>
              <w:pStyle w:val="TableParagraph"/>
              <w:spacing w:before="1"/>
              <w:rPr>
                <w:sz w:val="16"/>
              </w:rPr>
            </w:pPr>
          </w:p>
          <w:p>
            <w:pPr>
              <w:pStyle w:val="TableParagraph"/>
              <w:ind w:left="114" w:right="322"/>
              <w:rPr>
                <w:sz w:val="16"/>
              </w:rPr>
            </w:pPr>
            <w:r>
              <w:rPr>
                <w:spacing w:val="-2"/>
                <w:sz w:val="16"/>
              </w:rPr>
              <w:t>Outputs</w:t>
            </w:r>
            <w:r>
              <w:rPr>
                <w:spacing w:val="-15"/>
                <w:sz w:val="16"/>
              </w:rPr>
              <w:t> </w:t>
            </w:r>
            <w:r>
              <w:rPr>
                <w:spacing w:val="-2"/>
                <w:sz w:val="16"/>
              </w:rPr>
              <w:t>from </w:t>
            </w:r>
            <w:r>
              <w:rPr>
                <w:sz w:val="16"/>
              </w:rPr>
              <w:t>Steps 1-4</w:t>
            </w:r>
          </w:p>
        </w:tc>
        <w:tc>
          <w:tcPr>
            <w:tcW w:w="3140" w:type="dxa"/>
            <w:shd w:val="clear" w:color="auto" w:fill="E8E8E8"/>
          </w:tcPr>
          <w:p>
            <w:pPr>
              <w:pStyle w:val="TableParagraph"/>
              <w:spacing w:line="183" w:lineRule="exact"/>
              <w:ind w:left="109"/>
              <w:rPr>
                <w:sz w:val="16"/>
              </w:rPr>
            </w:pPr>
            <w:r>
              <w:rPr>
                <w:sz w:val="16"/>
              </w:rPr>
              <w:t>Steps</w:t>
            </w:r>
            <w:r>
              <w:rPr>
                <w:spacing w:val="-8"/>
                <w:sz w:val="16"/>
              </w:rPr>
              <w:t> </w:t>
            </w:r>
            <w:r>
              <w:rPr>
                <w:sz w:val="16"/>
              </w:rPr>
              <w:t>1-4</w:t>
            </w:r>
            <w:r>
              <w:rPr>
                <w:spacing w:val="-11"/>
                <w:sz w:val="16"/>
              </w:rPr>
              <w:t> </w:t>
            </w:r>
            <w:r>
              <w:rPr>
                <w:sz w:val="16"/>
              </w:rPr>
              <w:t>projected</w:t>
            </w:r>
            <w:r>
              <w:rPr>
                <w:spacing w:val="-11"/>
                <w:sz w:val="16"/>
              </w:rPr>
              <w:t> </w:t>
            </w:r>
            <w:r>
              <w:rPr>
                <w:sz w:val="16"/>
              </w:rPr>
              <w:t>from</w:t>
            </w:r>
            <w:r>
              <w:rPr>
                <w:spacing w:val="-8"/>
                <w:sz w:val="16"/>
              </w:rPr>
              <w:t> </w:t>
            </w:r>
            <w:r>
              <w:rPr>
                <w:sz w:val="16"/>
              </w:rPr>
              <w:t>2025-</w:t>
            </w:r>
            <w:r>
              <w:rPr>
                <w:spacing w:val="-2"/>
                <w:sz w:val="16"/>
              </w:rPr>
              <w:t>2054.</w:t>
            </w:r>
          </w:p>
          <w:p>
            <w:pPr>
              <w:pStyle w:val="TableParagraph"/>
              <w:spacing w:line="182" w:lineRule="exact" w:before="172"/>
              <w:ind w:left="109" w:right="202"/>
              <w:rPr>
                <w:sz w:val="16"/>
              </w:rPr>
            </w:pPr>
            <w:r>
              <w:rPr>
                <w:sz w:val="16"/>
              </w:rPr>
              <w:t>Inflows</w:t>
            </w:r>
            <w:r>
              <w:rPr>
                <w:spacing w:val="-12"/>
                <w:sz w:val="16"/>
              </w:rPr>
              <w:t> </w:t>
            </w:r>
            <w:r>
              <w:rPr>
                <w:sz w:val="16"/>
              </w:rPr>
              <w:t>are</w:t>
            </w:r>
            <w:r>
              <w:rPr>
                <w:spacing w:val="-17"/>
                <w:sz w:val="16"/>
              </w:rPr>
              <w:t> </w:t>
            </w:r>
            <w:r>
              <w:rPr>
                <w:sz w:val="16"/>
              </w:rPr>
              <w:t>collected</w:t>
            </w:r>
            <w:r>
              <w:rPr>
                <w:spacing w:val="-11"/>
                <w:sz w:val="16"/>
              </w:rPr>
              <w:t> </w:t>
            </w:r>
            <w:r>
              <w:rPr>
                <w:sz w:val="16"/>
              </w:rPr>
              <w:t>at</w:t>
            </w:r>
            <w:r>
              <w:rPr>
                <w:spacing w:val="-11"/>
                <w:sz w:val="16"/>
              </w:rPr>
              <w:t> </w:t>
            </w:r>
            <w:r>
              <w:rPr>
                <w:sz w:val="16"/>
              </w:rPr>
              <w:t>the</w:t>
            </w:r>
            <w:r>
              <w:rPr>
                <w:spacing w:val="-13"/>
                <w:sz w:val="16"/>
              </w:rPr>
              <w:t> </w:t>
            </w:r>
            <w:r>
              <w:rPr>
                <w:sz w:val="16"/>
              </w:rPr>
              <w:t>start</w:t>
            </w:r>
            <w:r>
              <w:rPr>
                <w:spacing w:val="-11"/>
                <w:sz w:val="16"/>
              </w:rPr>
              <w:t> </w:t>
            </w:r>
            <w:r>
              <w:rPr>
                <w:sz w:val="16"/>
              </w:rPr>
              <w:t>of</w:t>
            </w:r>
            <w:r>
              <w:rPr>
                <w:spacing w:val="-9"/>
                <w:sz w:val="16"/>
              </w:rPr>
              <w:t> </w:t>
            </w:r>
            <w:r>
              <w:rPr>
                <w:sz w:val="16"/>
              </w:rPr>
              <w:t>year and costs are incurred at year end.</w:t>
            </w:r>
          </w:p>
        </w:tc>
        <w:tc>
          <w:tcPr>
            <w:tcW w:w="2786" w:type="dxa"/>
            <w:shd w:val="clear" w:color="auto" w:fill="E8E8E8"/>
          </w:tcPr>
          <w:p>
            <w:pPr>
              <w:pStyle w:val="TableParagraph"/>
              <w:spacing w:line="244" w:lineRule="auto"/>
              <w:ind w:left="105"/>
              <w:rPr>
                <w:sz w:val="16"/>
              </w:rPr>
            </w:pPr>
            <w:r>
              <w:rPr>
                <w:sz w:val="16"/>
              </w:rPr>
              <w:t>Net</w:t>
            </w:r>
            <w:r>
              <w:rPr>
                <w:spacing w:val="-12"/>
                <w:sz w:val="16"/>
              </w:rPr>
              <w:t> </w:t>
            </w:r>
            <w:r>
              <w:rPr>
                <w:sz w:val="16"/>
              </w:rPr>
              <w:t>cashflows</w:t>
            </w:r>
            <w:r>
              <w:rPr>
                <w:spacing w:val="-12"/>
                <w:sz w:val="16"/>
              </w:rPr>
              <w:t> </w:t>
            </w:r>
            <w:r>
              <w:rPr>
                <w:sz w:val="16"/>
              </w:rPr>
              <w:t>=</w:t>
            </w:r>
            <w:r>
              <w:rPr>
                <w:spacing w:val="-11"/>
                <w:sz w:val="16"/>
              </w:rPr>
              <w:t> </w:t>
            </w:r>
            <w:r>
              <w:rPr>
                <w:sz w:val="16"/>
              </w:rPr>
              <w:t>Cash</w:t>
            </w:r>
            <w:r>
              <w:rPr>
                <w:spacing w:val="-11"/>
                <w:sz w:val="16"/>
              </w:rPr>
              <w:t> </w:t>
            </w:r>
            <w:r>
              <w:rPr>
                <w:sz w:val="16"/>
              </w:rPr>
              <w:t>inflow</w:t>
            </w:r>
            <w:r>
              <w:rPr>
                <w:spacing w:val="-11"/>
                <w:sz w:val="16"/>
              </w:rPr>
              <w:t> </w:t>
            </w:r>
            <w:r>
              <w:rPr>
                <w:sz w:val="16"/>
              </w:rPr>
              <w:t>–</w:t>
            </w:r>
            <w:r>
              <w:rPr>
                <w:spacing w:val="-13"/>
                <w:sz w:val="16"/>
              </w:rPr>
              <w:t> </w:t>
            </w:r>
            <w:r>
              <w:rPr>
                <w:sz w:val="16"/>
              </w:rPr>
              <w:t>cash </w:t>
            </w:r>
            <w:r>
              <w:rPr>
                <w:spacing w:val="-2"/>
                <w:sz w:val="16"/>
              </w:rPr>
              <w:t>inflows.</w:t>
            </w:r>
          </w:p>
          <w:p>
            <w:pPr>
              <w:pStyle w:val="TableParagraph"/>
              <w:spacing w:before="156"/>
              <w:ind w:left="105"/>
              <w:rPr>
                <w:sz w:val="16"/>
              </w:rPr>
            </w:pPr>
            <w:r>
              <w:rPr>
                <w:sz w:val="16"/>
              </w:rPr>
              <w:t>Assess</w:t>
            </w:r>
            <w:r>
              <w:rPr>
                <w:spacing w:val="-10"/>
                <w:sz w:val="16"/>
              </w:rPr>
              <w:t> </w:t>
            </w:r>
            <w:r>
              <w:rPr>
                <w:sz w:val="16"/>
              </w:rPr>
              <w:t>financial</w:t>
            </w:r>
            <w:r>
              <w:rPr>
                <w:spacing w:val="-11"/>
                <w:sz w:val="16"/>
              </w:rPr>
              <w:t> </w:t>
            </w:r>
            <w:r>
              <w:rPr>
                <w:sz w:val="16"/>
              </w:rPr>
              <w:t>positions</w:t>
            </w:r>
            <w:r>
              <w:rPr>
                <w:spacing w:val="-8"/>
                <w:sz w:val="16"/>
              </w:rPr>
              <w:t> </w:t>
            </w:r>
            <w:r>
              <w:rPr>
                <w:sz w:val="16"/>
              </w:rPr>
              <w:t>per</w:t>
            </w:r>
            <w:r>
              <w:rPr>
                <w:spacing w:val="-6"/>
                <w:sz w:val="16"/>
              </w:rPr>
              <w:t> </w:t>
            </w:r>
            <w:r>
              <w:rPr>
                <w:spacing w:val="-4"/>
                <w:sz w:val="16"/>
              </w:rPr>
              <w:t>year.</w:t>
            </w:r>
          </w:p>
        </w:tc>
      </w:tr>
    </w:tbl>
    <w:p>
      <w:pPr>
        <w:pStyle w:val="BodyText"/>
        <w:spacing w:before="6"/>
      </w:pPr>
    </w:p>
    <w:p>
      <w:pPr>
        <w:spacing w:before="0"/>
        <w:ind w:left="1200" w:right="0" w:firstLine="0"/>
        <w:jc w:val="left"/>
        <w:rPr>
          <w:sz w:val="18"/>
        </w:rPr>
      </w:pPr>
      <w:r>
        <w:rPr>
          <w:sz w:val="18"/>
        </w:rPr>
        <w:t>After</w:t>
      </w:r>
      <w:r>
        <w:rPr>
          <w:spacing w:val="-13"/>
          <w:sz w:val="18"/>
        </w:rPr>
        <w:t> </w:t>
      </w:r>
      <w:r>
        <w:rPr>
          <w:sz w:val="18"/>
        </w:rPr>
        <w:t>determining</w:t>
      </w:r>
      <w:r>
        <w:rPr>
          <w:spacing w:val="-12"/>
          <w:sz w:val="18"/>
        </w:rPr>
        <w:t> </w:t>
      </w:r>
      <w:r>
        <w:rPr>
          <w:sz w:val="18"/>
        </w:rPr>
        <w:t>liabilities’</w:t>
      </w:r>
      <w:r>
        <w:rPr>
          <w:spacing w:val="-13"/>
          <w:sz w:val="18"/>
        </w:rPr>
        <w:t> </w:t>
      </w:r>
      <w:r>
        <w:rPr>
          <w:sz w:val="18"/>
        </w:rPr>
        <w:t>cashflows,</w:t>
      </w:r>
      <w:r>
        <w:rPr>
          <w:spacing w:val="-12"/>
          <w:sz w:val="18"/>
        </w:rPr>
        <w:t> </w:t>
      </w:r>
      <w:r>
        <w:rPr>
          <w:sz w:val="18"/>
        </w:rPr>
        <w:t>the</w:t>
      </w:r>
      <w:r>
        <w:rPr>
          <w:spacing w:val="-13"/>
          <w:sz w:val="18"/>
        </w:rPr>
        <w:t> </w:t>
      </w:r>
      <w:r>
        <w:rPr>
          <w:sz w:val="18"/>
        </w:rPr>
        <w:t>asset</w:t>
      </w:r>
      <w:r>
        <w:rPr>
          <w:spacing w:val="-11"/>
          <w:sz w:val="18"/>
        </w:rPr>
        <w:t> </w:t>
      </w:r>
      <w:r>
        <w:rPr>
          <w:sz w:val="18"/>
        </w:rPr>
        <w:t>portfolio</w:t>
      </w:r>
      <w:r>
        <w:rPr>
          <w:spacing w:val="-13"/>
          <w:sz w:val="18"/>
        </w:rPr>
        <w:t> </w:t>
      </w:r>
      <w:r>
        <w:rPr>
          <w:sz w:val="18"/>
        </w:rPr>
        <w:t>cashflows</w:t>
      </w:r>
      <w:r>
        <w:rPr>
          <w:spacing w:val="-8"/>
          <w:sz w:val="18"/>
        </w:rPr>
        <w:t> </w:t>
      </w:r>
      <w:r>
        <w:rPr>
          <w:sz w:val="18"/>
        </w:rPr>
        <w:t>are</w:t>
      </w:r>
      <w:r>
        <w:rPr>
          <w:spacing w:val="-13"/>
          <w:sz w:val="18"/>
        </w:rPr>
        <w:t> </w:t>
      </w:r>
      <w:r>
        <w:rPr>
          <w:spacing w:val="-2"/>
          <w:sz w:val="18"/>
        </w:rPr>
        <w:t>projected:</w:t>
      </w:r>
    </w:p>
    <w:p>
      <w:pPr>
        <w:pStyle w:val="BodyText"/>
        <w:spacing w:before="7"/>
        <w:rPr>
          <w:sz w:val="17"/>
        </w:rPr>
      </w:pPr>
    </w:p>
    <w:tbl>
      <w:tblPr>
        <w:tblW w:w="0" w:type="auto"/>
        <w:jc w:val="left"/>
        <w:tblInd w:w="1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2"/>
        <w:gridCol w:w="1099"/>
        <w:gridCol w:w="1430"/>
        <w:gridCol w:w="2957"/>
        <w:gridCol w:w="2967"/>
      </w:tblGrid>
      <w:tr>
        <w:trPr>
          <w:trHeight w:val="182" w:hRule="atLeast"/>
        </w:trPr>
        <w:tc>
          <w:tcPr>
            <w:tcW w:w="562" w:type="dxa"/>
            <w:shd w:val="clear" w:color="auto" w:fill="092D41"/>
          </w:tcPr>
          <w:p>
            <w:pPr>
              <w:pStyle w:val="TableParagraph"/>
              <w:spacing w:line="162" w:lineRule="exact"/>
              <w:ind w:left="25" w:right="6"/>
              <w:jc w:val="center"/>
              <w:rPr>
                <w:b/>
                <w:sz w:val="16"/>
              </w:rPr>
            </w:pPr>
            <w:r>
              <w:rPr>
                <w:b/>
                <w:color w:val="FFFFFF"/>
                <w:spacing w:val="-4"/>
                <w:sz w:val="16"/>
              </w:rPr>
              <w:t>Step</w:t>
            </w:r>
          </w:p>
        </w:tc>
        <w:tc>
          <w:tcPr>
            <w:tcW w:w="1099" w:type="dxa"/>
            <w:shd w:val="clear" w:color="auto" w:fill="092D41"/>
          </w:tcPr>
          <w:p>
            <w:pPr>
              <w:pStyle w:val="TableParagraph"/>
              <w:spacing w:line="162" w:lineRule="exact"/>
              <w:ind w:left="115"/>
              <w:rPr>
                <w:b/>
                <w:sz w:val="16"/>
              </w:rPr>
            </w:pPr>
            <w:r>
              <w:rPr>
                <w:b/>
                <w:color w:val="FFFFFF"/>
                <w:spacing w:val="-2"/>
                <w:sz w:val="16"/>
              </w:rPr>
              <w:t>Description</w:t>
            </w:r>
          </w:p>
        </w:tc>
        <w:tc>
          <w:tcPr>
            <w:tcW w:w="1430" w:type="dxa"/>
            <w:shd w:val="clear" w:color="auto" w:fill="092D41"/>
          </w:tcPr>
          <w:p>
            <w:pPr>
              <w:pStyle w:val="TableParagraph"/>
              <w:spacing w:line="162" w:lineRule="exact"/>
              <w:ind w:left="110"/>
              <w:rPr>
                <w:b/>
                <w:sz w:val="16"/>
              </w:rPr>
            </w:pPr>
            <w:r>
              <w:rPr>
                <w:b/>
                <w:color w:val="FFFFFF"/>
                <w:spacing w:val="-2"/>
                <w:sz w:val="16"/>
              </w:rPr>
              <w:t>Inputs</w:t>
            </w:r>
            <w:r>
              <w:rPr>
                <w:b/>
                <w:color w:val="FFFFFF"/>
                <w:spacing w:val="-1"/>
                <w:sz w:val="16"/>
              </w:rPr>
              <w:t> </w:t>
            </w:r>
            <w:r>
              <w:rPr>
                <w:b/>
                <w:color w:val="FFFFFF"/>
                <w:spacing w:val="-2"/>
                <w:sz w:val="16"/>
              </w:rPr>
              <w:t>Given</w:t>
            </w:r>
          </w:p>
        </w:tc>
        <w:tc>
          <w:tcPr>
            <w:tcW w:w="2957" w:type="dxa"/>
            <w:shd w:val="clear" w:color="auto" w:fill="092D41"/>
          </w:tcPr>
          <w:p>
            <w:pPr>
              <w:pStyle w:val="TableParagraph"/>
              <w:spacing w:line="162" w:lineRule="exact"/>
              <w:ind w:left="116"/>
              <w:rPr>
                <w:b/>
                <w:sz w:val="16"/>
              </w:rPr>
            </w:pPr>
            <w:r>
              <w:rPr>
                <w:b/>
                <w:color w:val="FFFFFF"/>
                <w:spacing w:val="-2"/>
                <w:sz w:val="16"/>
              </w:rPr>
              <w:t>Assumptions</w:t>
            </w:r>
          </w:p>
        </w:tc>
        <w:tc>
          <w:tcPr>
            <w:tcW w:w="2967" w:type="dxa"/>
            <w:shd w:val="clear" w:color="auto" w:fill="092D41"/>
          </w:tcPr>
          <w:p>
            <w:pPr>
              <w:pStyle w:val="TableParagraph"/>
              <w:spacing w:line="162" w:lineRule="exact"/>
              <w:ind w:left="117"/>
              <w:rPr>
                <w:b/>
                <w:sz w:val="16"/>
              </w:rPr>
            </w:pPr>
            <w:r>
              <w:rPr>
                <w:b/>
                <w:color w:val="FFFFFF"/>
                <w:spacing w:val="-2"/>
                <w:sz w:val="16"/>
              </w:rPr>
              <w:t>Calculation</w:t>
            </w:r>
            <w:r>
              <w:rPr>
                <w:b/>
                <w:color w:val="FFFFFF"/>
                <w:spacing w:val="9"/>
                <w:sz w:val="16"/>
              </w:rPr>
              <w:t> </w:t>
            </w:r>
            <w:r>
              <w:rPr>
                <w:b/>
                <w:color w:val="FFFFFF"/>
                <w:spacing w:val="-2"/>
                <w:sz w:val="16"/>
              </w:rPr>
              <w:t>Approach</w:t>
            </w:r>
          </w:p>
        </w:tc>
      </w:tr>
      <w:tr>
        <w:trPr>
          <w:trHeight w:val="1103" w:hRule="atLeast"/>
        </w:trPr>
        <w:tc>
          <w:tcPr>
            <w:tcW w:w="562" w:type="dxa"/>
          </w:tcPr>
          <w:p>
            <w:pPr>
              <w:pStyle w:val="TableParagraph"/>
              <w:rPr>
                <w:sz w:val="16"/>
              </w:rPr>
            </w:pPr>
          </w:p>
          <w:p>
            <w:pPr>
              <w:pStyle w:val="TableParagraph"/>
              <w:spacing w:before="91"/>
              <w:rPr>
                <w:sz w:val="16"/>
              </w:rPr>
            </w:pPr>
          </w:p>
          <w:p>
            <w:pPr>
              <w:pStyle w:val="TableParagraph"/>
              <w:ind w:left="25"/>
              <w:jc w:val="center"/>
              <w:rPr>
                <w:sz w:val="16"/>
              </w:rPr>
            </w:pPr>
            <w:r>
              <w:rPr>
                <w:spacing w:val="-10"/>
                <w:sz w:val="16"/>
              </w:rPr>
              <w:t>1</w:t>
            </w:r>
          </w:p>
        </w:tc>
        <w:tc>
          <w:tcPr>
            <w:tcW w:w="1099" w:type="dxa"/>
          </w:tcPr>
          <w:p>
            <w:pPr>
              <w:pStyle w:val="TableParagraph"/>
              <w:spacing w:before="92"/>
              <w:rPr>
                <w:sz w:val="16"/>
              </w:rPr>
            </w:pPr>
          </w:p>
          <w:p>
            <w:pPr>
              <w:pStyle w:val="TableParagraph"/>
              <w:spacing w:before="1"/>
              <w:ind w:left="115"/>
              <w:rPr>
                <w:sz w:val="16"/>
              </w:rPr>
            </w:pPr>
            <w:r>
              <w:rPr>
                <w:spacing w:val="-4"/>
                <w:sz w:val="16"/>
              </w:rPr>
              <w:t>Determine </w:t>
            </w:r>
            <w:r>
              <w:rPr>
                <w:spacing w:val="-2"/>
                <w:sz w:val="16"/>
              </w:rPr>
              <w:t>asset allocation</w:t>
            </w:r>
          </w:p>
        </w:tc>
        <w:tc>
          <w:tcPr>
            <w:tcW w:w="1430" w:type="dxa"/>
          </w:tcPr>
          <w:p>
            <w:pPr>
              <w:pStyle w:val="TableParagraph"/>
              <w:spacing w:line="244" w:lineRule="auto"/>
              <w:ind w:left="110" w:right="360"/>
              <w:rPr>
                <w:sz w:val="16"/>
              </w:rPr>
            </w:pPr>
            <w:r>
              <w:rPr>
                <w:spacing w:val="-2"/>
                <w:sz w:val="16"/>
              </w:rPr>
              <w:t>2024</w:t>
            </w:r>
            <w:r>
              <w:rPr>
                <w:spacing w:val="-15"/>
                <w:sz w:val="16"/>
              </w:rPr>
              <w:t> </w:t>
            </w:r>
            <w:r>
              <w:rPr>
                <w:spacing w:val="-2"/>
                <w:sz w:val="16"/>
              </w:rPr>
              <w:t>portfolio </w:t>
            </w:r>
            <w:r>
              <w:rPr>
                <w:sz w:val="16"/>
              </w:rPr>
              <w:t>value</w:t>
            </w:r>
            <w:r>
              <w:rPr>
                <w:spacing w:val="-11"/>
                <w:sz w:val="16"/>
              </w:rPr>
              <w:t> </w:t>
            </w:r>
            <w:r>
              <w:rPr>
                <w:sz w:val="16"/>
              </w:rPr>
              <w:t>=</w:t>
            </w:r>
            <w:r>
              <w:rPr>
                <w:spacing w:val="-1"/>
                <w:sz w:val="16"/>
              </w:rPr>
              <w:t> </w:t>
            </w:r>
            <w:r>
              <w:rPr>
                <w:spacing w:val="-6"/>
                <w:sz w:val="16"/>
              </w:rPr>
              <w:t>$60M</w:t>
            </w:r>
          </w:p>
          <w:p>
            <w:pPr>
              <w:pStyle w:val="TableParagraph"/>
              <w:spacing w:line="182" w:lineRule="exact" w:before="162"/>
              <w:ind w:left="110"/>
              <w:rPr>
                <w:sz w:val="16"/>
              </w:rPr>
            </w:pPr>
            <w:r>
              <w:rPr>
                <w:spacing w:val="-2"/>
                <w:sz w:val="16"/>
              </w:rPr>
              <w:t>Historical</w:t>
            </w:r>
            <w:r>
              <w:rPr>
                <w:spacing w:val="-10"/>
                <w:sz w:val="16"/>
              </w:rPr>
              <w:t> </w:t>
            </w:r>
            <w:r>
              <w:rPr>
                <w:spacing w:val="-2"/>
                <w:sz w:val="16"/>
              </w:rPr>
              <w:t>yields </w:t>
            </w:r>
            <w:r>
              <w:rPr>
                <w:sz w:val="16"/>
              </w:rPr>
              <w:t>and growth of asset</w:t>
            </w:r>
            <w:r>
              <w:rPr>
                <w:spacing w:val="-12"/>
                <w:sz w:val="16"/>
              </w:rPr>
              <w:t> </w:t>
            </w:r>
            <w:r>
              <w:rPr>
                <w:sz w:val="16"/>
              </w:rPr>
              <w:t>portfolio.</w:t>
            </w:r>
          </w:p>
        </w:tc>
        <w:tc>
          <w:tcPr>
            <w:tcW w:w="2957" w:type="dxa"/>
          </w:tcPr>
          <w:p>
            <w:pPr>
              <w:pStyle w:val="TableParagraph"/>
              <w:rPr>
                <w:sz w:val="16"/>
              </w:rPr>
            </w:pPr>
          </w:p>
          <w:p>
            <w:pPr>
              <w:pStyle w:val="TableParagraph"/>
              <w:spacing w:before="91"/>
              <w:rPr>
                <w:sz w:val="16"/>
              </w:rPr>
            </w:pPr>
          </w:p>
          <w:p>
            <w:pPr>
              <w:pStyle w:val="TableParagraph"/>
              <w:ind w:left="116"/>
              <w:rPr>
                <w:sz w:val="16"/>
              </w:rPr>
            </w:pPr>
            <w:r>
              <w:rPr>
                <w:sz w:val="16"/>
              </w:rPr>
              <w:t>Historical</w:t>
            </w:r>
            <w:r>
              <w:rPr>
                <w:spacing w:val="-12"/>
                <w:sz w:val="16"/>
              </w:rPr>
              <w:t> </w:t>
            </w:r>
            <w:r>
              <w:rPr>
                <w:sz w:val="16"/>
              </w:rPr>
              <w:t>data</w:t>
            </w:r>
            <w:r>
              <w:rPr>
                <w:spacing w:val="-13"/>
                <w:sz w:val="16"/>
              </w:rPr>
              <w:t> </w:t>
            </w:r>
            <w:r>
              <w:rPr>
                <w:sz w:val="16"/>
              </w:rPr>
              <w:t>reflects</w:t>
            </w:r>
            <w:r>
              <w:rPr>
                <w:spacing w:val="-8"/>
                <w:sz w:val="16"/>
              </w:rPr>
              <w:t> </w:t>
            </w:r>
            <w:r>
              <w:rPr>
                <w:sz w:val="16"/>
              </w:rPr>
              <w:t>future</w:t>
            </w:r>
            <w:r>
              <w:rPr>
                <w:spacing w:val="-12"/>
                <w:sz w:val="16"/>
              </w:rPr>
              <w:t> </w:t>
            </w:r>
            <w:r>
              <w:rPr>
                <w:spacing w:val="-2"/>
                <w:sz w:val="16"/>
              </w:rPr>
              <w:t>trends.</w:t>
            </w:r>
          </w:p>
        </w:tc>
        <w:tc>
          <w:tcPr>
            <w:tcW w:w="2967" w:type="dxa"/>
          </w:tcPr>
          <w:p>
            <w:pPr>
              <w:pStyle w:val="TableParagraph"/>
              <w:rPr>
                <w:sz w:val="16"/>
              </w:rPr>
            </w:pPr>
          </w:p>
          <w:p>
            <w:pPr>
              <w:pStyle w:val="TableParagraph"/>
              <w:rPr>
                <w:sz w:val="16"/>
              </w:rPr>
            </w:pPr>
          </w:p>
          <w:p>
            <w:pPr>
              <w:pStyle w:val="TableParagraph"/>
              <w:ind w:left="117" w:right="19"/>
              <w:rPr>
                <w:sz w:val="16"/>
              </w:rPr>
            </w:pPr>
            <w:r>
              <w:rPr>
                <w:sz w:val="16"/>
              </w:rPr>
              <w:t>Start</w:t>
            </w:r>
            <w:r>
              <w:rPr>
                <w:spacing w:val="-12"/>
                <w:sz w:val="16"/>
              </w:rPr>
              <w:t> </w:t>
            </w:r>
            <w:r>
              <w:rPr>
                <w:sz w:val="16"/>
              </w:rPr>
              <w:t>with</w:t>
            </w:r>
            <w:r>
              <w:rPr>
                <w:spacing w:val="-11"/>
                <w:sz w:val="16"/>
              </w:rPr>
              <w:t> </w:t>
            </w:r>
            <w:r>
              <w:rPr>
                <w:sz w:val="16"/>
              </w:rPr>
              <w:t>a</w:t>
            </w:r>
            <w:r>
              <w:rPr>
                <w:spacing w:val="-11"/>
                <w:sz w:val="16"/>
              </w:rPr>
              <w:t> </w:t>
            </w:r>
            <w:r>
              <w:rPr>
                <w:sz w:val="16"/>
              </w:rPr>
              <w:t>portfolio</w:t>
            </w:r>
            <w:r>
              <w:rPr>
                <w:spacing w:val="-11"/>
                <w:sz w:val="16"/>
              </w:rPr>
              <w:t> </w:t>
            </w:r>
            <w:r>
              <w:rPr>
                <w:sz w:val="16"/>
              </w:rPr>
              <w:t>allocation</w:t>
            </w:r>
            <w:r>
              <w:rPr>
                <w:spacing w:val="-12"/>
                <w:sz w:val="16"/>
              </w:rPr>
              <w:t> </w:t>
            </w:r>
            <w:r>
              <w:rPr>
                <w:sz w:val="16"/>
              </w:rPr>
              <w:t>for</w:t>
            </w:r>
            <w:r>
              <w:rPr>
                <w:spacing w:val="-11"/>
                <w:sz w:val="16"/>
              </w:rPr>
              <w:t> </w:t>
            </w:r>
            <w:r>
              <w:rPr>
                <w:sz w:val="16"/>
              </w:rPr>
              <w:t>the four asset types.</w:t>
            </w:r>
          </w:p>
        </w:tc>
      </w:tr>
      <w:tr>
        <w:trPr>
          <w:trHeight w:val="1291" w:hRule="atLeast"/>
        </w:trPr>
        <w:tc>
          <w:tcPr>
            <w:tcW w:w="562" w:type="dxa"/>
            <w:shd w:val="clear" w:color="auto" w:fill="E8E8E8"/>
          </w:tcPr>
          <w:p>
            <w:pPr>
              <w:pStyle w:val="TableParagraph"/>
              <w:rPr>
                <w:sz w:val="16"/>
              </w:rPr>
            </w:pPr>
          </w:p>
          <w:p>
            <w:pPr>
              <w:pStyle w:val="TableParagraph"/>
              <w:spacing w:before="183"/>
              <w:rPr>
                <w:sz w:val="16"/>
              </w:rPr>
            </w:pPr>
          </w:p>
          <w:p>
            <w:pPr>
              <w:pStyle w:val="TableParagraph"/>
              <w:ind w:left="25"/>
              <w:jc w:val="center"/>
              <w:rPr>
                <w:sz w:val="16"/>
              </w:rPr>
            </w:pPr>
            <w:r>
              <w:rPr>
                <w:spacing w:val="-10"/>
                <w:sz w:val="16"/>
              </w:rPr>
              <w:t>2</w:t>
            </w:r>
          </w:p>
        </w:tc>
        <w:tc>
          <w:tcPr>
            <w:tcW w:w="1099" w:type="dxa"/>
            <w:shd w:val="clear" w:color="auto" w:fill="E8E8E8"/>
          </w:tcPr>
          <w:p>
            <w:pPr>
              <w:pStyle w:val="TableParagraph"/>
              <w:spacing w:before="93"/>
              <w:rPr>
                <w:sz w:val="16"/>
              </w:rPr>
            </w:pPr>
          </w:p>
          <w:p>
            <w:pPr>
              <w:pStyle w:val="TableParagraph"/>
              <w:ind w:left="115" w:right="76"/>
              <w:rPr>
                <w:sz w:val="16"/>
              </w:rPr>
            </w:pPr>
            <w:r>
              <w:rPr>
                <w:spacing w:val="-2"/>
                <w:sz w:val="16"/>
              </w:rPr>
              <w:t>Calculate </w:t>
            </w:r>
            <w:r>
              <w:rPr>
                <w:spacing w:val="-4"/>
                <w:sz w:val="16"/>
              </w:rPr>
              <w:t>cash available</w:t>
            </w:r>
            <w:r>
              <w:rPr>
                <w:spacing w:val="-19"/>
                <w:sz w:val="16"/>
              </w:rPr>
              <w:t> </w:t>
            </w:r>
            <w:r>
              <w:rPr>
                <w:spacing w:val="-4"/>
                <w:sz w:val="16"/>
              </w:rPr>
              <w:t>for </w:t>
            </w:r>
            <w:r>
              <w:rPr>
                <w:spacing w:val="-2"/>
                <w:sz w:val="16"/>
              </w:rPr>
              <w:t>investment</w:t>
            </w:r>
          </w:p>
        </w:tc>
        <w:tc>
          <w:tcPr>
            <w:tcW w:w="1430" w:type="dxa"/>
            <w:shd w:val="clear" w:color="auto" w:fill="E8E8E8"/>
          </w:tcPr>
          <w:p>
            <w:pPr>
              <w:pStyle w:val="TableParagraph"/>
              <w:ind w:left="110" w:right="105"/>
              <w:rPr>
                <w:sz w:val="16"/>
              </w:rPr>
            </w:pPr>
            <w:r>
              <w:rPr>
                <w:spacing w:val="-4"/>
                <w:sz w:val="16"/>
              </w:rPr>
              <w:t>Customer</w:t>
            </w:r>
            <w:r>
              <w:rPr>
                <w:spacing w:val="-8"/>
                <w:sz w:val="16"/>
              </w:rPr>
              <w:t> </w:t>
            </w:r>
            <w:r>
              <w:rPr>
                <w:spacing w:val="-4"/>
                <w:sz w:val="16"/>
              </w:rPr>
              <w:t>entry </w:t>
            </w:r>
            <w:r>
              <w:rPr>
                <w:sz w:val="16"/>
              </w:rPr>
              <w:t>fee</w:t>
            </w:r>
            <w:r>
              <w:rPr>
                <w:spacing w:val="-12"/>
                <w:sz w:val="16"/>
              </w:rPr>
              <w:t> </w:t>
            </w:r>
            <w:r>
              <w:rPr>
                <w:sz w:val="16"/>
              </w:rPr>
              <w:t>(liability </w:t>
            </w:r>
            <w:r>
              <w:rPr>
                <w:spacing w:val="-2"/>
                <w:sz w:val="16"/>
              </w:rPr>
              <w:t>model)</w:t>
            </w:r>
          </w:p>
          <w:p>
            <w:pPr>
              <w:pStyle w:val="TableParagraph"/>
              <w:spacing w:line="182" w:lineRule="exact" w:before="173"/>
              <w:ind w:left="110" w:right="265"/>
              <w:jc w:val="both"/>
              <w:rPr>
                <w:sz w:val="16"/>
              </w:rPr>
            </w:pPr>
            <w:r>
              <w:rPr>
                <w:sz w:val="16"/>
              </w:rPr>
              <w:t>Projected</w:t>
            </w:r>
            <w:r>
              <w:rPr>
                <w:spacing w:val="-12"/>
                <w:sz w:val="16"/>
              </w:rPr>
              <w:t> </w:t>
            </w:r>
            <w:r>
              <w:rPr>
                <w:sz w:val="16"/>
              </w:rPr>
              <w:t>total </w:t>
            </w:r>
            <w:r>
              <w:rPr>
                <w:spacing w:val="-4"/>
                <w:sz w:val="16"/>
              </w:rPr>
              <w:t>customer</w:t>
            </w:r>
            <w:r>
              <w:rPr>
                <w:spacing w:val="-8"/>
                <w:sz w:val="16"/>
              </w:rPr>
              <w:t> </w:t>
            </w:r>
            <w:r>
              <w:rPr>
                <w:spacing w:val="-4"/>
                <w:sz w:val="16"/>
              </w:rPr>
              <w:t>costs </w:t>
            </w:r>
            <w:r>
              <w:rPr>
                <w:spacing w:val="-2"/>
                <w:sz w:val="16"/>
              </w:rPr>
              <w:t>(liability</w:t>
            </w:r>
            <w:r>
              <w:rPr>
                <w:spacing w:val="2"/>
                <w:sz w:val="16"/>
              </w:rPr>
              <w:t> </w:t>
            </w:r>
            <w:r>
              <w:rPr>
                <w:spacing w:val="-4"/>
                <w:sz w:val="16"/>
              </w:rPr>
              <w:t>model)</w:t>
            </w:r>
          </w:p>
        </w:tc>
        <w:tc>
          <w:tcPr>
            <w:tcW w:w="2957" w:type="dxa"/>
            <w:shd w:val="clear" w:color="auto" w:fill="E8E8E8"/>
          </w:tcPr>
          <w:p>
            <w:pPr>
              <w:pStyle w:val="TableParagraph"/>
              <w:spacing w:before="95"/>
              <w:ind w:left="116"/>
              <w:rPr>
                <w:sz w:val="16"/>
              </w:rPr>
            </w:pPr>
            <w:r>
              <w:rPr>
                <w:sz w:val="16"/>
              </w:rPr>
              <w:t>A</w:t>
            </w:r>
            <w:r>
              <w:rPr>
                <w:spacing w:val="-12"/>
                <w:sz w:val="16"/>
              </w:rPr>
              <w:t> </w:t>
            </w:r>
            <w:r>
              <w:rPr>
                <w:sz w:val="16"/>
              </w:rPr>
              <w:t>buffer</w:t>
            </w:r>
            <w:r>
              <w:rPr>
                <w:spacing w:val="-5"/>
                <w:sz w:val="16"/>
              </w:rPr>
              <w:t> </w:t>
            </w:r>
            <w:r>
              <w:rPr>
                <w:sz w:val="16"/>
              </w:rPr>
              <w:t>is applied</w:t>
            </w:r>
            <w:r>
              <w:rPr>
                <w:spacing w:val="-6"/>
                <w:sz w:val="16"/>
              </w:rPr>
              <w:t> </w:t>
            </w:r>
            <w:r>
              <w:rPr>
                <w:sz w:val="16"/>
              </w:rPr>
              <w:t>to</w:t>
            </w:r>
            <w:r>
              <w:rPr>
                <w:spacing w:val="-4"/>
                <w:sz w:val="16"/>
              </w:rPr>
              <w:t> </w:t>
            </w:r>
            <w:r>
              <w:rPr>
                <w:sz w:val="16"/>
              </w:rPr>
              <w:t>liabilities before determining</w:t>
            </w:r>
            <w:r>
              <w:rPr>
                <w:spacing w:val="-10"/>
                <w:sz w:val="16"/>
              </w:rPr>
              <w:t> </w:t>
            </w:r>
            <w:r>
              <w:rPr>
                <w:sz w:val="16"/>
              </w:rPr>
              <w:t>amount</w:t>
            </w:r>
            <w:r>
              <w:rPr>
                <w:spacing w:val="-7"/>
                <w:sz w:val="16"/>
              </w:rPr>
              <w:t> </w:t>
            </w:r>
            <w:r>
              <w:rPr>
                <w:sz w:val="16"/>
              </w:rPr>
              <w:t>of</w:t>
            </w:r>
            <w:r>
              <w:rPr>
                <w:spacing w:val="-5"/>
                <w:sz w:val="16"/>
              </w:rPr>
              <w:t> </w:t>
            </w:r>
            <w:r>
              <w:rPr>
                <w:sz w:val="16"/>
              </w:rPr>
              <w:t>free</w:t>
            </w:r>
            <w:r>
              <w:rPr>
                <w:spacing w:val="-12"/>
                <w:sz w:val="16"/>
              </w:rPr>
              <w:t> </w:t>
            </w:r>
            <w:r>
              <w:rPr>
                <w:sz w:val="16"/>
              </w:rPr>
              <w:t>cash</w:t>
            </w:r>
            <w:r>
              <w:rPr>
                <w:spacing w:val="-11"/>
                <w:sz w:val="16"/>
              </w:rPr>
              <w:t> </w:t>
            </w:r>
            <w:r>
              <w:rPr>
                <w:spacing w:val="-4"/>
                <w:sz w:val="16"/>
              </w:rPr>
              <w:t>flow.</w:t>
            </w:r>
          </w:p>
          <w:p>
            <w:pPr>
              <w:pStyle w:val="TableParagraph"/>
              <w:rPr>
                <w:sz w:val="16"/>
              </w:rPr>
            </w:pPr>
          </w:p>
          <w:p>
            <w:pPr>
              <w:pStyle w:val="TableParagraph"/>
              <w:ind w:left="116" w:right="198"/>
              <w:rPr>
                <w:sz w:val="16"/>
              </w:rPr>
            </w:pPr>
            <w:r>
              <w:rPr>
                <w:spacing w:val="-2"/>
                <w:sz w:val="16"/>
              </w:rPr>
              <w:t>Buffer</w:t>
            </w:r>
            <w:r>
              <w:rPr>
                <w:spacing w:val="-10"/>
                <w:sz w:val="16"/>
              </w:rPr>
              <w:t> </w:t>
            </w:r>
            <w:r>
              <w:rPr>
                <w:spacing w:val="-2"/>
                <w:sz w:val="16"/>
              </w:rPr>
              <w:t>calculated</w:t>
            </w:r>
            <w:r>
              <w:rPr>
                <w:spacing w:val="-5"/>
                <w:sz w:val="16"/>
              </w:rPr>
              <w:t> </w:t>
            </w:r>
            <w:r>
              <w:rPr>
                <w:spacing w:val="-2"/>
                <w:sz w:val="16"/>
              </w:rPr>
              <w:t>at</w:t>
            </w:r>
            <w:r>
              <w:rPr>
                <w:spacing w:val="-11"/>
                <w:sz w:val="16"/>
              </w:rPr>
              <w:t> </w:t>
            </w:r>
            <w:r>
              <w:rPr>
                <w:spacing w:val="-2"/>
                <w:sz w:val="16"/>
              </w:rPr>
              <w:t>beginning</w:t>
            </w:r>
            <w:r>
              <w:rPr>
                <w:spacing w:val="-5"/>
                <w:sz w:val="16"/>
              </w:rPr>
              <w:t> </w:t>
            </w:r>
            <w:r>
              <w:rPr>
                <w:spacing w:val="-2"/>
                <w:sz w:val="16"/>
              </w:rPr>
              <w:t>of</w:t>
            </w:r>
            <w:r>
              <w:rPr>
                <w:sz w:val="16"/>
              </w:rPr>
              <w:t> </w:t>
            </w:r>
            <w:r>
              <w:rPr>
                <w:spacing w:val="-2"/>
                <w:sz w:val="16"/>
              </w:rPr>
              <w:t>year </w:t>
            </w:r>
            <w:r>
              <w:rPr>
                <w:sz w:val="16"/>
              </w:rPr>
              <w:t>based on projected liability for the </w:t>
            </w:r>
            <w:r>
              <w:rPr>
                <w:spacing w:val="-2"/>
                <w:sz w:val="16"/>
              </w:rPr>
              <w:t>year.</w:t>
            </w:r>
          </w:p>
        </w:tc>
        <w:tc>
          <w:tcPr>
            <w:tcW w:w="2967" w:type="dxa"/>
            <w:shd w:val="clear" w:color="auto" w:fill="E8E8E8"/>
          </w:tcPr>
          <w:p>
            <w:pPr>
              <w:pStyle w:val="TableParagraph"/>
              <w:spacing w:before="93"/>
              <w:rPr>
                <w:sz w:val="16"/>
              </w:rPr>
            </w:pPr>
          </w:p>
          <w:p>
            <w:pPr>
              <w:pStyle w:val="TableParagraph"/>
              <w:ind w:left="117"/>
              <w:rPr>
                <w:sz w:val="16"/>
              </w:rPr>
            </w:pPr>
            <w:r>
              <w:rPr>
                <w:spacing w:val="-2"/>
                <w:sz w:val="16"/>
              </w:rPr>
              <w:t>Calculate</w:t>
            </w:r>
            <w:r>
              <w:rPr>
                <w:spacing w:val="-1"/>
                <w:sz w:val="16"/>
              </w:rPr>
              <w:t> </w:t>
            </w:r>
            <w:r>
              <w:rPr>
                <w:spacing w:val="-2"/>
                <w:sz w:val="16"/>
              </w:rPr>
              <w:t>buffer</w:t>
            </w:r>
            <w:r>
              <w:rPr>
                <w:spacing w:val="8"/>
                <w:sz w:val="16"/>
              </w:rPr>
              <w:t> </w:t>
            </w:r>
            <w:r>
              <w:rPr>
                <w:spacing w:val="-2"/>
                <w:sz w:val="16"/>
              </w:rPr>
              <w:t>amount.</w:t>
            </w:r>
          </w:p>
          <w:p>
            <w:pPr>
              <w:pStyle w:val="TableParagraph"/>
              <w:spacing w:before="2"/>
              <w:rPr>
                <w:sz w:val="16"/>
              </w:rPr>
            </w:pPr>
          </w:p>
          <w:p>
            <w:pPr>
              <w:pStyle w:val="TableParagraph"/>
              <w:ind w:left="117"/>
              <w:rPr>
                <w:sz w:val="16"/>
              </w:rPr>
            </w:pPr>
            <w:r>
              <w:rPr>
                <w:spacing w:val="-2"/>
                <w:sz w:val="16"/>
              </w:rPr>
              <w:t>Investment</w:t>
            </w:r>
            <w:r>
              <w:rPr>
                <w:spacing w:val="-10"/>
                <w:sz w:val="16"/>
              </w:rPr>
              <w:t> </w:t>
            </w:r>
            <w:r>
              <w:rPr>
                <w:spacing w:val="-2"/>
                <w:sz w:val="16"/>
              </w:rPr>
              <w:t>cash</w:t>
            </w:r>
            <w:r>
              <w:rPr>
                <w:spacing w:val="-6"/>
                <w:sz w:val="16"/>
              </w:rPr>
              <w:t> </w:t>
            </w:r>
            <w:r>
              <w:rPr>
                <w:spacing w:val="-2"/>
                <w:sz w:val="16"/>
              </w:rPr>
              <w:t>=</w:t>
            </w:r>
            <w:r>
              <w:rPr>
                <w:spacing w:val="-5"/>
                <w:sz w:val="16"/>
              </w:rPr>
              <w:t> </w:t>
            </w:r>
            <w:r>
              <w:rPr>
                <w:spacing w:val="-2"/>
                <w:sz w:val="16"/>
              </w:rPr>
              <w:t>Buffer –</w:t>
            </w:r>
            <w:r>
              <w:rPr>
                <w:spacing w:val="-12"/>
                <w:sz w:val="16"/>
              </w:rPr>
              <w:t> </w:t>
            </w:r>
            <w:r>
              <w:rPr>
                <w:spacing w:val="-2"/>
                <w:sz w:val="16"/>
              </w:rPr>
              <w:t>customer </w:t>
            </w:r>
            <w:r>
              <w:rPr>
                <w:sz w:val="16"/>
              </w:rPr>
              <w:t>entry</w:t>
            </w:r>
            <w:r>
              <w:rPr>
                <w:spacing w:val="-12"/>
                <w:sz w:val="16"/>
              </w:rPr>
              <w:t> </w:t>
            </w:r>
            <w:r>
              <w:rPr>
                <w:sz w:val="16"/>
              </w:rPr>
              <w:t>fees</w:t>
            </w:r>
          </w:p>
        </w:tc>
      </w:tr>
      <w:tr>
        <w:trPr>
          <w:trHeight w:val="734" w:hRule="atLeast"/>
        </w:trPr>
        <w:tc>
          <w:tcPr>
            <w:tcW w:w="562" w:type="dxa"/>
          </w:tcPr>
          <w:p>
            <w:pPr>
              <w:pStyle w:val="TableParagraph"/>
              <w:spacing w:before="88"/>
              <w:rPr>
                <w:sz w:val="16"/>
              </w:rPr>
            </w:pPr>
          </w:p>
          <w:p>
            <w:pPr>
              <w:pStyle w:val="TableParagraph"/>
              <w:ind w:left="25"/>
              <w:jc w:val="center"/>
              <w:rPr>
                <w:sz w:val="16"/>
              </w:rPr>
            </w:pPr>
            <w:r>
              <w:rPr>
                <w:spacing w:val="-10"/>
                <w:sz w:val="16"/>
              </w:rPr>
              <w:t>3</w:t>
            </w:r>
          </w:p>
        </w:tc>
        <w:tc>
          <w:tcPr>
            <w:tcW w:w="1099" w:type="dxa"/>
          </w:tcPr>
          <w:p>
            <w:pPr>
              <w:pStyle w:val="TableParagraph"/>
              <w:spacing w:line="244" w:lineRule="auto" w:before="181"/>
              <w:ind w:left="115" w:right="484"/>
              <w:rPr>
                <w:sz w:val="16"/>
              </w:rPr>
            </w:pPr>
            <w:r>
              <w:rPr>
                <w:spacing w:val="-4"/>
                <w:sz w:val="16"/>
              </w:rPr>
              <w:t>Project returns</w:t>
            </w:r>
          </w:p>
        </w:tc>
        <w:tc>
          <w:tcPr>
            <w:tcW w:w="1430" w:type="dxa"/>
          </w:tcPr>
          <w:p>
            <w:pPr>
              <w:pStyle w:val="TableParagraph"/>
              <w:spacing w:line="242" w:lineRule="auto" w:before="89"/>
              <w:ind w:left="110" w:right="105"/>
              <w:rPr>
                <w:sz w:val="16"/>
              </w:rPr>
            </w:pPr>
            <w:r>
              <w:rPr>
                <w:spacing w:val="-2"/>
                <w:sz w:val="16"/>
              </w:rPr>
              <w:t>Portfolio allocation</w:t>
            </w:r>
            <w:r>
              <w:rPr>
                <w:spacing w:val="-12"/>
                <w:sz w:val="16"/>
              </w:rPr>
              <w:t> </w:t>
            </w:r>
            <w:r>
              <w:rPr>
                <w:spacing w:val="-2"/>
                <w:sz w:val="16"/>
              </w:rPr>
              <w:t>(Step </w:t>
            </w:r>
            <w:r>
              <w:rPr>
                <w:spacing w:val="-4"/>
                <w:sz w:val="16"/>
              </w:rPr>
              <w:t>1).</w:t>
            </w:r>
          </w:p>
        </w:tc>
        <w:tc>
          <w:tcPr>
            <w:tcW w:w="2957" w:type="dxa"/>
          </w:tcPr>
          <w:p>
            <w:pPr>
              <w:pStyle w:val="TableParagraph"/>
              <w:spacing w:line="183" w:lineRule="exact"/>
              <w:ind w:left="116"/>
              <w:rPr>
                <w:sz w:val="16"/>
              </w:rPr>
            </w:pPr>
            <w:r>
              <w:rPr>
                <w:sz w:val="16"/>
              </w:rPr>
              <w:t>All</w:t>
            </w:r>
            <w:r>
              <w:rPr>
                <w:spacing w:val="-12"/>
                <w:sz w:val="16"/>
              </w:rPr>
              <w:t> </w:t>
            </w:r>
            <w:r>
              <w:rPr>
                <w:sz w:val="16"/>
              </w:rPr>
              <w:t>rates</w:t>
            </w:r>
            <w:r>
              <w:rPr>
                <w:spacing w:val="5"/>
                <w:sz w:val="16"/>
              </w:rPr>
              <w:t> </w:t>
            </w:r>
            <w:r>
              <w:rPr>
                <w:sz w:val="16"/>
              </w:rPr>
              <w:t>are</w:t>
            </w:r>
            <w:r>
              <w:rPr>
                <w:spacing w:val="-12"/>
                <w:sz w:val="16"/>
              </w:rPr>
              <w:t> </w:t>
            </w:r>
            <w:r>
              <w:rPr>
                <w:sz w:val="16"/>
              </w:rPr>
              <w:t>fixed</w:t>
            </w:r>
            <w:r>
              <w:rPr>
                <w:spacing w:val="3"/>
                <w:sz w:val="16"/>
              </w:rPr>
              <w:t> </w:t>
            </w:r>
            <w:r>
              <w:rPr>
                <w:sz w:val="16"/>
              </w:rPr>
              <w:t>over</w:t>
            </w:r>
            <w:r>
              <w:rPr>
                <w:spacing w:val="-4"/>
                <w:sz w:val="16"/>
              </w:rPr>
              <w:t> </w:t>
            </w:r>
            <w:r>
              <w:rPr>
                <w:sz w:val="16"/>
              </w:rPr>
              <w:t>30</w:t>
            </w:r>
            <w:r>
              <w:rPr>
                <w:spacing w:val="-6"/>
                <w:sz w:val="16"/>
              </w:rPr>
              <w:t> </w:t>
            </w:r>
            <w:r>
              <w:rPr>
                <w:spacing w:val="-2"/>
                <w:sz w:val="16"/>
              </w:rPr>
              <w:t>years.</w:t>
            </w:r>
          </w:p>
          <w:p>
            <w:pPr>
              <w:pStyle w:val="TableParagraph"/>
              <w:spacing w:line="182" w:lineRule="exact" w:before="168"/>
              <w:ind w:left="116" w:right="380"/>
              <w:rPr>
                <w:sz w:val="16"/>
              </w:rPr>
            </w:pPr>
            <w:r>
              <w:rPr>
                <w:sz w:val="16"/>
              </w:rPr>
              <w:t>Bonds</w:t>
            </w:r>
            <w:r>
              <w:rPr>
                <w:spacing w:val="-12"/>
                <w:sz w:val="16"/>
              </w:rPr>
              <w:t> </w:t>
            </w:r>
            <w:r>
              <w:rPr>
                <w:sz w:val="16"/>
              </w:rPr>
              <w:t>and</w:t>
            </w:r>
            <w:r>
              <w:rPr>
                <w:spacing w:val="-11"/>
                <w:sz w:val="16"/>
              </w:rPr>
              <w:t> </w:t>
            </w:r>
            <w:r>
              <w:rPr>
                <w:sz w:val="16"/>
              </w:rPr>
              <w:t>equity</w:t>
            </w:r>
            <w:r>
              <w:rPr>
                <w:spacing w:val="-13"/>
                <w:sz w:val="16"/>
              </w:rPr>
              <w:t> </w:t>
            </w:r>
            <w:r>
              <w:rPr>
                <w:sz w:val="16"/>
              </w:rPr>
              <w:t>returns</w:t>
            </w:r>
            <w:r>
              <w:rPr>
                <w:spacing w:val="-11"/>
                <w:sz w:val="16"/>
              </w:rPr>
              <w:t> </w:t>
            </w:r>
            <w:r>
              <w:rPr>
                <w:sz w:val="16"/>
              </w:rPr>
              <w:t>are</w:t>
            </w:r>
            <w:r>
              <w:rPr>
                <w:spacing w:val="-13"/>
                <w:sz w:val="16"/>
              </w:rPr>
              <w:t> </w:t>
            </w:r>
            <w:r>
              <w:rPr>
                <w:sz w:val="16"/>
              </w:rPr>
              <w:t>semi- annual. Payouts occur year-end.</w:t>
            </w:r>
          </w:p>
        </w:tc>
        <w:tc>
          <w:tcPr>
            <w:tcW w:w="2967" w:type="dxa"/>
          </w:tcPr>
          <w:p>
            <w:pPr>
              <w:pStyle w:val="TableParagraph"/>
              <w:spacing w:before="88"/>
              <w:rPr>
                <w:sz w:val="16"/>
              </w:rPr>
            </w:pPr>
          </w:p>
          <w:p>
            <w:pPr>
              <w:pStyle w:val="TableParagraph"/>
              <w:ind w:left="117"/>
              <w:rPr>
                <w:sz w:val="16"/>
              </w:rPr>
            </w:pPr>
            <w:r>
              <w:rPr>
                <w:sz w:val="16"/>
              </w:rPr>
              <w:t>Calculate</w:t>
            </w:r>
            <w:r>
              <w:rPr>
                <w:spacing w:val="-12"/>
                <w:sz w:val="16"/>
              </w:rPr>
              <w:t> </w:t>
            </w:r>
            <w:r>
              <w:rPr>
                <w:sz w:val="16"/>
              </w:rPr>
              <w:t>return</w:t>
            </w:r>
            <w:r>
              <w:rPr>
                <w:spacing w:val="-11"/>
                <w:sz w:val="16"/>
              </w:rPr>
              <w:t> </w:t>
            </w:r>
            <w:r>
              <w:rPr>
                <w:sz w:val="16"/>
              </w:rPr>
              <w:t>per</w:t>
            </w:r>
            <w:r>
              <w:rPr>
                <w:spacing w:val="-3"/>
                <w:sz w:val="16"/>
              </w:rPr>
              <w:t> </w:t>
            </w:r>
            <w:r>
              <w:rPr>
                <w:sz w:val="16"/>
              </w:rPr>
              <w:t>asset</w:t>
            </w:r>
            <w:r>
              <w:rPr>
                <w:spacing w:val="-11"/>
                <w:sz w:val="16"/>
              </w:rPr>
              <w:t> </w:t>
            </w:r>
            <w:r>
              <w:rPr>
                <w:spacing w:val="-2"/>
                <w:sz w:val="16"/>
              </w:rPr>
              <w:t>class.</w:t>
            </w:r>
          </w:p>
        </w:tc>
      </w:tr>
      <w:tr>
        <w:trPr>
          <w:trHeight w:val="1290" w:hRule="atLeast"/>
        </w:trPr>
        <w:tc>
          <w:tcPr>
            <w:tcW w:w="562" w:type="dxa"/>
            <w:shd w:val="clear" w:color="auto" w:fill="E8E8E8"/>
          </w:tcPr>
          <w:p>
            <w:pPr>
              <w:pStyle w:val="TableParagraph"/>
              <w:rPr>
                <w:sz w:val="16"/>
              </w:rPr>
            </w:pPr>
          </w:p>
          <w:p>
            <w:pPr>
              <w:pStyle w:val="TableParagraph"/>
              <w:spacing w:before="182"/>
              <w:rPr>
                <w:sz w:val="16"/>
              </w:rPr>
            </w:pPr>
          </w:p>
          <w:p>
            <w:pPr>
              <w:pStyle w:val="TableParagraph"/>
              <w:ind w:left="25"/>
              <w:jc w:val="center"/>
              <w:rPr>
                <w:sz w:val="16"/>
              </w:rPr>
            </w:pPr>
            <w:r>
              <w:rPr>
                <w:spacing w:val="-10"/>
                <w:sz w:val="16"/>
              </w:rPr>
              <w:t>4</w:t>
            </w:r>
          </w:p>
        </w:tc>
        <w:tc>
          <w:tcPr>
            <w:tcW w:w="1099" w:type="dxa"/>
            <w:shd w:val="clear" w:color="auto" w:fill="E8E8E8"/>
          </w:tcPr>
          <w:p>
            <w:pPr>
              <w:pStyle w:val="TableParagraph"/>
              <w:rPr>
                <w:sz w:val="16"/>
              </w:rPr>
            </w:pPr>
          </w:p>
          <w:p>
            <w:pPr>
              <w:pStyle w:val="TableParagraph"/>
              <w:spacing w:before="91"/>
              <w:rPr>
                <w:sz w:val="16"/>
              </w:rPr>
            </w:pPr>
          </w:p>
          <w:p>
            <w:pPr>
              <w:pStyle w:val="TableParagraph"/>
              <w:ind w:left="115" w:right="76"/>
              <w:rPr>
                <w:sz w:val="16"/>
              </w:rPr>
            </w:pPr>
            <w:r>
              <w:rPr>
                <w:spacing w:val="-4"/>
                <w:sz w:val="16"/>
              </w:rPr>
              <w:t>Determine </w:t>
            </w:r>
            <w:r>
              <w:rPr>
                <w:sz w:val="16"/>
              </w:rPr>
              <w:t>net profit</w:t>
            </w:r>
          </w:p>
        </w:tc>
        <w:tc>
          <w:tcPr>
            <w:tcW w:w="1430" w:type="dxa"/>
            <w:shd w:val="clear" w:color="auto" w:fill="E8E8E8"/>
          </w:tcPr>
          <w:p>
            <w:pPr>
              <w:pStyle w:val="TableParagraph"/>
              <w:rPr>
                <w:sz w:val="16"/>
              </w:rPr>
            </w:pPr>
          </w:p>
          <w:p>
            <w:pPr>
              <w:pStyle w:val="TableParagraph"/>
              <w:spacing w:before="91"/>
              <w:rPr>
                <w:sz w:val="16"/>
              </w:rPr>
            </w:pPr>
          </w:p>
          <w:p>
            <w:pPr>
              <w:pStyle w:val="TableParagraph"/>
              <w:ind w:left="110" w:right="360"/>
              <w:rPr>
                <w:sz w:val="16"/>
              </w:rPr>
            </w:pPr>
            <w:r>
              <w:rPr>
                <w:spacing w:val="-4"/>
                <w:sz w:val="16"/>
              </w:rPr>
              <w:t>Asset</w:t>
            </w:r>
            <w:r>
              <w:rPr>
                <w:spacing w:val="-14"/>
                <w:sz w:val="16"/>
              </w:rPr>
              <w:t> </w:t>
            </w:r>
            <w:r>
              <w:rPr>
                <w:spacing w:val="-4"/>
                <w:sz w:val="16"/>
              </w:rPr>
              <w:t>returns </w:t>
            </w:r>
            <w:r>
              <w:rPr>
                <w:sz w:val="16"/>
              </w:rPr>
              <w:t>(Step</w:t>
            </w:r>
            <w:r>
              <w:rPr>
                <w:spacing w:val="-2"/>
                <w:sz w:val="16"/>
              </w:rPr>
              <w:t> </w:t>
            </w:r>
            <w:r>
              <w:rPr>
                <w:sz w:val="16"/>
              </w:rPr>
              <w:t>3)</w:t>
            </w:r>
          </w:p>
        </w:tc>
        <w:tc>
          <w:tcPr>
            <w:tcW w:w="2957" w:type="dxa"/>
            <w:shd w:val="clear" w:color="auto" w:fill="E8E8E8"/>
          </w:tcPr>
          <w:p>
            <w:pPr>
              <w:pStyle w:val="TableParagraph"/>
              <w:spacing w:before="92"/>
              <w:rPr>
                <w:sz w:val="16"/>
              </w:rPr>
            </w:pPr>
          </w:p>
          <w:p>
            <w:pPr>
              <w:pStyle w:val="TableParagraph"/>
              <w:spacing w:before="1"/>
              <w:ind w:left="116" w:right="198"/>
              <w:rPr>
                <w:sz w:val="16"/>
              </w:rPr>
            </w:pPr>
            <w:r>
              <w:rPr>
                <w:sz w:val="16"/>
              </w:rPr>
              <w:t>Returns</w:t>
            </w:r>
            <w:r>
              <w:rPr>
                <w:spacing w:val="-12"/>
                <w:sz w:val="16"/>
              </w:rPr>
              <w:t> </w:t>
            </w:r>
            <w:r>
              <w:rPr>
                <w:sz w:val="16"/>
              </w:rPr>
              <w:t>can</w:t>
            </w:r>
            <w:r>
              <w:rPr>
                <w:spacing w:val="-11"/>
                <w:sz w:val="16"/>
              </w:rPr>
              <w:t> </w:t>
            </w:r>
            <w:r>
              <w:rPr>
                <w:sz w:val="16"/>
              </w:rPr>
              <w:t>be</w:t>
            </w:r>
            <w:r>
              <w:rPr>
                <w:spacing w:val="-18"/>
                <w:sz w:val="16"/>
              </w:rPr>
              <w:t> </w:t>
            </w:r>
            <w:r>
              <w:rPr>
                <w:sz w:val="16"/>
              </w:rPr>
              <w:t>reinvested</w:t>
            </w:r>
            <w:r>
              <w:rPr>
                <w:spacing w:val="-11"/>
                <w:sz w:val="16"/>
              </w:rPr>
              <w:t> </w:t>
            </w:r>
            <w:r>
              <w:rPr>
                <w:sz w:val="16"/>
              </w:rPr>
              <w:t>into</w:t>
            </w:r>
            <w:r>
              <w:rPr>
                <w:spacing w:val="-13"/>
                <w:sz w:val="16"/>
              </w:rPr>
              <w:t> </w:t>
            </w:r>
            <w:r>
              <w:rPr>
                <w:sz w:val="16"/>
              </w:rPr>
              <w:t>assets at the end of the year.</w:t>
            </w:r>
          </w:p>
          <w:p>
            <w:pPr>
              <w:pStyle w:val="TableParagraph"/>
              <w:spacing w:before="184"/>
              <w:ind w:left="116"/>
              <w:rPr>
                <w:sz w:val="16"/>
              </w:rPr>
            </w:pPr>
            <w:r>
              <w:rPr>
                <w:sz w:val="16"/>
              </w:rPr>
              <w:t>No</w:t>
            </w:r>
            <w:r>
              <w:rPr>
                <w:spacing w:val="-18"/>
                <w:sz w:val="16"/>
              </w:rPr>
              <w:t> </w:t>
            </w:r>
            <w:r>
              <w:rPr>
                <w:sz w:val="16"/>
              </w:rPr>
              <w:t>tax</w:t>
            </w:r>
            <w:r>
              <w:rPr>
                <w:spacing w:val="-2"/>
                <w:sz w:val="16"/>
              </w:rPr>
              <w:t> </w:t>
            </w:r>
            <w:r>
              <w:rPr>
                <w:sz w:val="16"/>
              </w:rPr>
              <w:t>or</w:t>
            </w:r>
            <w:r>
              <w:rPr>
                <w:spacing w:val="-2"/>
                <w:sz w:val="16"/>
              </w:rPr>
              <w:t> </w:t>
            </w:r>
            <w:r>
              <w:rPr>
                <w:spacing w:val="-4"/>
                <w:sz w:val="16"/>
              </w:rPr>
              <w:t>GST.</w:t>
            </w:r>
          </w:p>
        </w:tc>
        <w:tc>
          <w:tcPr>
            <w:tcW w:w="2967" w:type="dxa"/>
            <w:shd w:val="clear" w:color="auto" w:fill="E8E8E8"/>
          </w:tcPr>
          <w:p>
            <w:pPr>
              <w:pStyle w:val="TableParagraph"/>
              <w:ind w:left="117" w:right="478"/>
              <w:jc w:val="both"/>
              <w:rPr>
                <w:sz w:val="16"/>
              </w:rPr>
            </w:pPr>
            <w:r>
              <w:rPr>
                <w:sz w:val="16"/>
              </w:rPr>
              <w:t>Net</w:t>
            </w:r>
            <w:r>
              <w:rPr>
                <w:spacing w:val="-12"/>
                <w:sz w:val="16"/>
              </w:rPr>
              <w:t> </w:t>
            </w:r>
            <w:r>
              <w:rPr>
                <w:sz w:val="16"/>
              </w:rPr>
              <w:t>profit</w:t>
            </w:r>
            <w:r>
              <w:rPr>
                <w:spacing w:val="-11"/>
                <w:sz w:val="16"/>
              </w:rPr>
              <w:t> </w:t>
            </w:r>
            <w:r>
              <w:rPr>
                <w:sz w:val="16"/>
              </w:rPr>
              <w:t>=</w:t>
            </w:r>
            <w:r>
              <w:rPr>
                <w:spacing w:val="-11"/>
                <w:sz w:val="16"/>
              </w:rPr>
              <w:t> </w:t>
            </w:r>
            <w:r>
              <w:rPr>
                <w:sz w:val="16"/>
              </w:rPr>
              <w:t>Cash</w:t>
            </w:r>
            <w:r>
              <w:rPr>
                <w:spacing w:val="-11"/>
                <w:sz w:val="16"/>
              </w:rPr>
              <w:t> </w:t>
            </w:r>
            <w:r>
              <w:rPr>
                <w:sz w:val="16"/>
              </w:rPr>
              <w:t>from</w:t>
            </w:r>
            <w:r>
              <w:rPr>
                <w:spacing w:val="-11"/>
                <w:sz w:val="16"/>
              </w:rPr>
              <w:t> </w:t>
            </w:r>
            <w:r>
              <w:rPr>
                <w:sz w:val="16"/>
              </w:rPr>
              <w:t>customer</w:t>
            </w:r>
            <w:r>
              <w:rPr>
                <w:spacing w:val="-11"/>
                <w:sz w:val="16"/>
              </w:rPr>
              <w:t> </w:t>
            </w:r>
            <w:r>
              <w:rPr>
                <w:sz w:val="16"/>
              </w:rPr>
              <w:t>– cash</w:t>
            </w:r>
            <w:r>
              <w:rPr>
                <w:spacing w:val="-5"/>
                <w:sz w:val="16"/>
              </w:rPr>
              <w:t> </w:t>
            </w:r>
            <w:r>
              <w:rPr>
                <w:sz w:val="16"/>
              </w:rPr>
              <w:t>used</w:t>
            </w:r>
            <w:r>
              <w:rPr>
                <w:spacing w:val="-8"/>
                <w:sz w:val="16"/>
              </w:rPr>
              <w:t> </w:t>
            </w:r>
            <w:r>
              <w:rPr>
                <w:sz w:val="16"/>
              </w:rPr>
              <w:t>for</w:t>
            </w:r>
            <w:r>
              <w:rPr>
                <w:spacing w:val="-3"/>
                <w:sz w:val="16"/>
              </w:rPr>
              <w:t> </w:t>
            </w:r>
            <w:r>
              <w:rPr>
                <w:sz w:val="16"/>
              </w:rPr>
              <w:t>investment</w:t>
            </w:r>
            <w:r>
              <w:rPr>
                <w:spacing w:val="-4"/>
                <w:sz w:val="16"/>
              </w:rPr>
              <w:t> </w:t>
            </w:r>
            <w:r>
              <w:rPr>
                <w:sz w:val="16"/>
              </w:rPr>
              <w:t>+</w:t>
            </w:r>
            <w:r>
              <w:rPr>
                <w:spacing w:val="-4"/>
                <w:sz w:val="16"/>
              </w:rPr>
              <w:t> </w:t>
            </w:r>
            <w:r>
              <w:rPr>
                <w:sz w:val="16"/>
              </w:rPr>
              <w:t>asset returns – liabilities.</w:t>
            </w:r>
          </w:p>
          <w:p>
            <w:pPr>
              <w:pStyle w:val="TableParagraph"/>
              <w:spacing w:line="182" w:lineRule="exact" w:before="173"/>
              <w:ind w:left="117"/>
              <w:rPr>
                <w:sz w:val="16"/>
              </w:rPr>
            </w:pPr>
            <w:r>
              <w:rPr>
                <w:sz w:val="16"/>
              </w:rPr>
              <w:t>Decide</w:t>
            </w:r>
            <w:r>
              <w:rPr>
                <w:spacing w:val="-12"/>
                <w:sz w:val="16"/>
              </w:rPr>
              <w:t> </w:t>
            </w:r>
            <w:r>
              <w:rPr>
                <w:sz w:val="16"/>
              </w:rPr>
              <w:t>if</w:t>
            </w:r>
            <w:r>
              <w:rPr>
                <w:spacing w:val="-11"/>
                <w:sz w:val="16"/>
              </w:rPr>
              <w:t> </w:t>
            </w:r>
            <w:r>
              <w:rPr>
                <w:sz w:val="16"/>
              </w:rPr>
              <w:t>net</w:t>
            </w:r>
            <w:r>
              <w:rPr>
                <w:spacing w:val="-11"/>
                <w:sz w:val="16"/>
              </w:rPr>
              <w:t> </w:t>
            </w:r>
            <w:r>
              <w:rPr>
                <w:sz w:val="16"/>
              </w:rPr>
              <w:t>profit</w:t>
            </w:r>
            <w:r>
              <w:rPr>
                <w:spacing w:val="-11"/>
                <w:sz w:val="16"/>
              </w:rPr>
              <w:t> </w:t>
            </w:r>
            <w:r>
              <w:rPr>
                <w:sz w:val="16"/>
              </w:rPr>
              <w:t>is</w:t>
            </w:r>
            <w:r>
              <w:rPr>
                <w:spacing w:val="-6"/>
                <w:sz w:val="16"/>
              </w:rPr>
              <w:t> </w:t>
            </w:r>
            <w:r>
              <w:rPr>
                <w:sz w:val="16"/>
              </w:rPr>
              <w:t>used</w:t>
            </w:r>
            <w:r>
              <w:rPr>
                <w:spacing w:val="-11"/>
                <w:sz w:val="16"/>
              </w:rPr>
              <w:t> </w:t>
            </w:r>
            <w:r>
              <w:rPr>
                <w:sz w:val="16"/>
              </w:rPr>
              <w:t>to</w:t>
            </w:r>
            <w:r>
              <w:rPr>
                <w:spacing w:val="-11"/>
                <w:sz w:val="16"/>
              </w:rPr>
              <w:t> </w:t>
            </w:r>
            <w:r>
              <w:rPr>
                <w:sz w:val="16"/>
              </w:rPr>
              <w:t>buy</w:t>
            </w:r>
            <w:r>
              <w:rPr>
                <w:spacing w:val="-10"/>
                <w:sz w:val="16"/>
              </w:rPr>
              <w:t> </w:t>
            </w:r>
            <w:r>
              <w:rPr>
                <w:sz w:val="16"/>
              </w:rPr>
              <w:t>more assets or keep as cash and assess asset portfolio and financial position.</w:t>
            </w:r>
          </w:p>
        </w:tc>
      </w:tr>
      <w:tr>
        <w:trPr>
          <w:trHeight w:val="552" w:hRule="atLeast"/>
        </w:trPr>
        <w:tc>
          <w:tcPr>
            <w:tcW w:w="562" w:type="dxa"/>
          </w:tcPr>
          <w:p>
            <w:pPr>
              <w:pStyle w:val="TableParagraph"/>
              <w:spacing w:before="181"/>
              <w:ind w:left="25"/>
              <w:jc w:val="center"/>
              <w:rPr>
                <w:sz w:val="16"/>
              </w:rPr>
            </w:pPr>
            <w:r>
              <w:rPr>
                <w:spacing w:val="-10"/>
                <w:sz w:val="16"/>
              </w:rPr>
              <w:t>5</w:t>
            </w:r>
          </w:p>
        </w:tc>
        <w:tc>
          <w:tcPr>
            <w:tcW w:w="1099" w:type="dxa"/>
          </w:tcPr>
          <w:p>
            <w:pPr>
              <w:pStyle w:val="TableParagraph"/>
              <w:spacing w:before="90"/>
              <w:ind w:left="115" w:right="373"/>
              <w:rPr>
                <w:sz w:val="16"/>
              </w:rPr>
            </w:pPr>
            <w:r>
              <w:rPr>
                <w:spacing w:val="-2"/>
                <w:sz w:val="16"/>
              </w:rPr>
              <w:t>Repeat Step</w:t>
            </w:r>
            <w:r>
              <w:rPr>
                <w:spacing w:val="-10"/>
                <w:sz w:val="16"/>
              </w:rPr>
              <w:t> </w:t>
            </w:r>
            <w:r>
              <w:rPr>
                <w:spacing w:val="-2"/>
                <w:sz w:val="16"/>
              </w:rPr>
              <w:t>2-5</w:t>
            </w:r>
          </w:p>
        </w:tc>
        <w:tc>
          <w:tcPr>
            <w:tcW w:w="1430" w:type="dxa"/>
          </w:tcPr>
          <w:p>
            <w:pPr>
              <w:pStyle w:val="TableParagraph"/>
              <w:spacing w:before="90"/>
              <w:ind w:left="110" w:right="360"/>
              <w:rPr>
                <w:sz w:val="16"/>
              </w:rPr>
            </w:pPr>
            <w:r>
              <w:rPr>
                <w:spacing w:val="-2"/>
                <w:sz w:val="16"/>
              </w:rPr>
              <w:t>Outputs</w:t>
            </w:r>
            <w:r>
              <w:rPr>
                <w:spacing w:val="-15"/>
                <w:sz w:val="16"/>
              </w:rPr>
              <w:t> </w:t>
            </w:r>
            <w:r>
              <w:rPr>
                <w:spacing w:val="-2"/>
                <w:sz w:val="16"/>
              </w:rPr>
              <w:t>from </w:t>
            </w:r>
            <w:r>
              <w:rPr>
                <w:sz w:val="16"/>
              </w:rPr>
              <w:t>Steps 1-4</w:t>
            </w:r>
          </w:p>
        </w:tc>
        <w:tc>
          <w:tcPr>
            <w:tcW w:w="2957" w:type="dxa"/>
          </w:tcPr>
          <w:p>
            <w:pPr>
              <w:pStyle w:val="TableParagraph"/>
              <w:spacing w:line="183" w:lineRule="exact"/>
              <w:ind w:left="116"/>
              <w:rPr>
                <w:sz w:val="16"/>
              </w:rPr>
            </w:pPr>
            <w:r>
              <w:rPr>
                <w:sz w:val="16"/>
              </w:rPr>
              <w:t>Steps</w:t>
            </w:r>
            <w:r>
              <w:rPr>
                <w:spacing w:val="-8"/>
                <w:sz w:val="16"/>
              </w:rPr>
              <w:t> </w:t>
            </w:r>
            <w:r>
              <w:rPr>
                <w:sz w:val="16"/>
              </w:rPr>
              <w:t>1-4</w:t>
            </w:r>
            <w:r>
              <w:rPr>
                <w:spacing w:val="-11"/>
                <w:sz w:val="16"/>
              </w:rPr>
              <w:t> </w:t>
            </w:r>
            <w:r>
              <w:rPr>
                <w:sz w:val="16"/>
              </w:rPr>
              <w:t>projected</w:t>
            </w:r>
            <w:r>
              <w:rPr>
                <w:spacing w:val="-11"/>
                <w:sz w:val="16"/>
              </w:rPr>
              <w:t> </w:t>
            </w:r>
            <w:r>
              <w:rPr>
                <w:sz w:val="16"/>
              </w:rPr>
              <w:t>from</w:t>
            </w:r>
            <w:r>
              <w:rPr>
                <w:spacing w:val="-8"/>
                <w:sz w:val="16"/>
              </w:rPr>
              <w:t> </w:t>
            </w:r>
            <w:r>
              <w:rPr>
                <w:sz w:val="16"/>
              </w:rPr>
              <w:t>2025-</w:t>
            </w:r>
            <w:r>
              <w:rPr>
                <w:spacing w:val="-2"/>
                <w:sz w:val="16"/>
              </w:rPr>
              <w:t>2054.</w:t>
            </w:r>
          </w:p>
          <w:p>
            <w:pPr>
              <w:pStyle w:val="TableParagraph"/>
              <w:spacing w:line="183" w:lineRule="exact" w:before="166"/>
              <w:ind w:left="116"/>
              <w:rPr>
                <w:sz w:val="16"/>
              </w:rPr>
            </w:pPr>
            <w:r>
              <w:rPr>
                <w:sz w:val="16"/>
              </w:rPr>
              <w:t>Rebalancing</w:t>
            </w:r>
            <w:r>
              <w:rPr>
                <w:spacing w:val="-12"/>
                <w:sz w:val="16"/>
              </w:rPr>
              <w:t> </w:t>
            </w:r>
            <w:r>
              <w:rPr>
                <w:sz w:val="16"/>
              </w:rPr>
              <w:t>can</w:t>
            </w:r>
            <w:r>
              <w:rPr>
                <w:spacing w:val="-5"/>
                <w:sz w:val="16"/>
              </w:rPr>
              <w:t> </w:t>
            </w:r>
            <w:r>
              <w:rPr>
                <w:sz w:val="16"/>
              </w:rPr>
              <w:t>occur</w:t>
            </w:r>
            <w:r>
              <w:rPr>
                <w:spacing w:val="-6"/>
                <w:sz w:val="16"/>
              </w:rPr>
              <w:t> </w:t>
            </w:r>
            <w:r>
              <w:rPr>
                <w:sz w:val="16"/>
              </w:rPr>
              <w:t>at</w:t>
            </w:r>
            <w:r>
              <w:rPr>
                <w:spacing w:val="-8"/>
                <w:sz w:val="16"/>
              </w:rPr>
              <w:t> </w:t>
            </w:r>
            <w:r>
              <w:rPr>
                <w:sz w:val="16"/>
              </w:rPr>
              <w:t>year-</w:t>
            </w:r>
            <w:r>
              <w:rPr>
                <w:spacing w:val="-4"/>
                <w:sz w:val="16"/>
              </w:rPr>
              <w:t>end.</w:t>
            </w:r>
          </w:p>
        </w:tc>
        <w:tc>
          <w:tcPr>
            <w:tcW w:w="2967" w:type="dxa"/>
          </w:tcPr>
          <w:p>
            <w:pPr>
              <w:pStyle w:val="TableParagraph"/>
              <w:spacing w:before="181"/>
              <w:ind w:left="117"/>
              <w:rPr>
                <w:sz w:val="16"/>
              </w:rPr>
            </w:pPr>
            <w:r>
              <w:rPr>
                <w:sz w:val="16"/>
              </w:rPr>
              <w:t>Repeat</w:t>
            </w:r>
            <w:r>
              <w:rPr>
                <w:spacing w:val="-3"/>
                <w:sz w:val="16"/>
              </w:rPr>
              <w:t> </w:t>
            </w:r>
            <w:r>
              <w:rPr>
                <w:sz w:val="16"/>
              </w:rPr>
              <w:t>Step</w:t>
            </w:r>
            <w:r>
              <w:rPr>
                <w:spacing w:val="-8"/>
                <w:sz w:val="16"/>
              </w:rPr>
              <w:t> </w:t>
            </w:r>
            <w:r>
              <w:rPr>
                <w:sz w:val="16"/>
              </w:rPr>
              <w:t>2-5</w:t>
            </w:r>
            <w:r>
              <w:rPr>
                <w:spacing w:val="-11"/>
                <w:sz w:val="16"/>
              </w:rPr>
              <w:t> </w:t>
            </w:r>
            <w:r>
              <w:rPr>
                <w:sz w:val="16"/>
              </w:rPr>
              <w:t>for</w:t>
            </w:r>
            <w:r>
              <w:rPr>
                <w:spacing w:val="-6"/>
                <w:sz w:val="16"/>
              </w:rPr>
              <w:t> </w:t>
            </w:r>
            <w:r>
              <w:rPr>
                <w:sz w:val="16"/>
              </w:rPr>
              <w:t>2025-</w:t>
            </w:r>
            <w:r>
              <w:rPr>
                <w:spacing w:val="-4"/>
                <w:sz w:val="16"/>
              </w:rPr>
              <w:t>2054.</w:t>
            </w:r>
          </w:p>
        </w:tc>
      </w:tr>
    </w:tbl>
    <w:p>
      <w:pPr>
        <w:pStyle w:val="BodyText"/>
        <w:spacing w:line="280" w:lineRule="auto" w:before="1"/>
        <w:ind w:left="1200"/>
      </w:pPr>
      <w:r>
        <w:rPr/>
        <w:t>While</w:t>
      </w:r>
      <w:r>
        <w:rPr>
          <w:spacing w:val="-12"/>
        </w:rPr>
        <w:t> </w:t>
      </w:r>
      <w:r>
        <w:rPr/>
        <w:t>the</w:t>
      </w:r>
      <w:r>
        <w:rPr>
          <w:spacing w:val="-2"/>
        </w:rPr>
        <w:t> </w:t>
      </w:r>
      <w:r>
        <w:rPr/>
        <w:t>projection</w:t>
      </w:r>
      <w:r>
        <w:rPr>
          <w:spacing w:val="-14"/>
        </w:rPr>
        <w:t> </w:t>
      </w:r>
      <w:r>
        <w:rPr/>
        <w:t>methodologies</w:t>
      </w:r>
      <w:r>
        <w:rPr>
          <w:spacing w:val="-9"/>
        </w:rPr>
        <w:t> </w:t>
      </w:r>
      <w:r>
        <w:rPr/>
        <w:t>provide</w:t>
      </w:r>
      <w:r>
        <w:rPr>
          <w:spacing w:val="-7"/>
        </w:rPr>
        <w:t> </w:t>
      </w:r>
      <w:r>
        <w:rPr/>
        <w:t>a</w:t>
      </w:r>
      <w:r>
        <w:rPr>
          <w:spacing w:val="-2"/>
        </w:rPr>
        <w:t> </w:t>
      </w:r>
      <w:r>
        <w:rPr/>
        <w:t>structured</w:t>
      </w:r>
      <w:r>
        <w:rPr>
          <w:spacing w:val="-7"/>
        </w:rPr>
        <w:t> </w:t>
      </w:r>
      <w:r>
        <w:rPr/>
        <w:t>approach</w:t>
      </w:r>
      <w:r>
        <w:rPr>
          <w:spacing w:val="-2"/>
        </w:rPr>
        <w:t> </w:t>
      </w:r>
      <w:r>
        <w:rPr/>
        <w:t>to</w:t>
      </w:r>
      <w:r>
        <w:rPr>
          <w:spacing w:val="-11"/>
        </w:rPr>
        <w:t> </w:t>
      </w:r>
      <w:r>
        <w:rPr/>
        <w:t>forecast and</w:t>
      </w:r>
      <w:r>
        <w:rPr>
          <w:spacing w:val="-1"/>
        </w:rPr>
        <w:t> </w:t>
      </w:r>
      <w:r>
        <w:rPr/>
        <w:t>assess</w:t>
      </w:r>
      <w:r>
        <w:rPr>
          <w:spacing w:val="-17"/>
        </w:rPr>
        <w:t> </w:t>
      </w:r>
      <w:r>
        <w:rPr/>
        <w:t>AAG’s</w:t>
      </w:r>
      <w:r>
        <w:rPr>
          <w:spacing w:val="-10"/>
        </w:rPr>
        <w:t> </w:t>
      </w:r>
      <w:r>
        <w:rPr/>
        <w:t>long- term cashflows, there are limitations:</w:t>
      </w:r>
    </w:p>
    <w:p>
      <w:pPr>
        <w:spacing w:after="0" w:line="280" w:lineRule="auto"/>
        <w:sectPr>
          <w:pgSz w:w="11910" w:h="16840"/>
          <w:pgMar w:header="0" w:footer="714" w:top="360" w:bottom="900" w:left="240" w:right="1240"/>
        </w:sectPr>
      </w:pPr>
    </w:p>
    <w:p>
      <w:pPr>
        <w:pStyle w:val="BodyText"/>
      </w:pPr>
    </w:p>
    <w:p>
      <w:pPr>
        <w:pStyle w:val="BodyText"/>
      </w:pPr>
    </w:p>
    <w:p>
      <w:pPr>
        <w:pStyle w:val="BodyText"/>
      </w:pPr>
    </w:p>
    <w:p>
      <w:pPr>
        <w:pStyle w:val="BodyText"/>
        <w:spacing w:before="118"/>
      </w:pPr>
    </w:p>
    <w:p>
      <w:pPr>
        <w:pStyle w:val="ListParagraph"/>
        <w:numPr>
          <w:ilvl w:val="0"/>
          <w:numId w:val="3"/>
        </w:numPr>
        <w:tabs>
          <w:tab w:pos="1560" w:val="left" w:leader="none"/>
        </w:tabs>
        <w:spacing w:line="240" w:lineRule="auto" w:before="0" w:after="0"/>
        <w:ind w:left="1560" w:right="0" w:hanging="360"/>
        <w:jc w:val="left"/>
        <w:rPr>
          <w:sz w:val="20"/>
        </w:rPr>
      </w:pPr>
      <w:r>
        <w:rPr/>
        <w:drawing>
          <wp:anchor distT="0" distB="0" distL="0" distR="0" allowOverlap="1" layoutInCell="1" locked="0" behindDoc="1" simplePos="0" relativeHeight="487150592">
            <wp:simplePos x="0" y="0"/>
            <wp:positionH relativeFrom="page">
              <wp:posOffset>227965</wp:posOffset>
            </wp:positionH>
            <wp:positionV relativeFrom="paragraph">
              <wp:posOffset>-665049</wp:posOffset>
            </wp:positionV>
            <wp:extent cx="1471930" cy="1023620"/>
            <wp:effectExtent l="0" t="0" r="0" b="0"/>
            <wp:wrapNone/>
            <wp:docPr id="41" name="Image 41"/>
            <wp:cNvGraphicFramePr>
              <a:graphicFrameLocks/>
            </wp:cNvGraphicFramePr>
            <a:graphic>
              <a:graphicData uri="http://schemas.openxmlformats.org/drawingml/2006/picture">
                <pic:pic>
                  <pic:nvPicPr>
                    <pic:cNvPr id="41" name="Image 41"/>
                    <pic:cNvPicPr/>
                  </pic:nvPicPr>
                  <pic:blipFill>
                    <a:blip r:embed="rId26" cstate="print"/>
                    <a:stretch>
                      <a:fillRect/>
                    </a:stretch>
                  </pic:blipFill>
                  <pic:spPr>
                    <a:xfrm>
                      <a:off x="0" y="0"/>
                      <a:ext cx="1471930" cy="1023620"/>
                    </a:xfrm>
                    <a:prstGeom prst="rect">
                      <a:avLst/>
                    </a:prstGeom>
                  </pic:spPr>
                </pic:pic>
              </a:graphicData>
            </a:graphic>
          </wp:anchor>
        </w:drawing>
      </w:r>
      <w:r>
        <w:rPr>
          <w:sz w:val="20"/>
        </w:rPr>
        <w:t>Assumptions</w:t>
      </w:r>
      <w:r>
        <w:rPr>
          <w:spacing w:val="-14"/>
          <w:sz w:val="20"/>
        </w:rPr>
        <w:t> </w:t>
      </w:r>
      <w:r>
        <w:rPr>
          <w:sz w:val="20"/>
        </w:rPr>
        <w:t>change</w:t>
      </w:r>
      <w:r>
        <w:rPr>
          <w:spacing w:val="-14"/>
          <w:sz w:val="20"/>
        </w:rPr>
        <w:t> </w:t>
      </w:r>
      <w:r>
        <w:rPr>
          <w:sz w:val="20"/>
        </w:rPr>
        <w:t>over</w:t>
      </w:r>
      <w:r>
        <w:rPr>
          <w:spacing w:val="-9"/>
          <w:sz w:val="20"/>
        </w:rPr>
        <w:t> </w:t>
      </w:r>
      <w:r>
        <w:rPr>
          <w:sz w:val="20"/>
        </w:rPr>
        <w:t>30</w:t>
      </w:r>
      <w:r>
        <w:rPr>
          <w:spacing w:val="-10"/>
          <w:sz w:val="20"/>
        </w:rPr>
        <w:t> </w:t>
      </w:r>
      <w:r>
        <w:rPr>
          <w:spacing w:val="-2"/>
          <w:sz w:val="20"/>
        </w:rPr>
        <w:t>years.</w:t>
      </w:r>
    </w:p>
    <w:p>
      <w:pPr>
        <w:pStyle w:val="ListParagraph"/>
        <w:numPr>
          <w:ilvl w:val="0"/>
          <w:numId w:val="3"/>
        </w:numPr>
        <w:tabs>
          <w:tab w:pos="1560" w:val="left" w:leader="none"/>
        </w:tabs>
        <w:spacing w:line="240" w:lineRule="auto" w:before="34" w:after="0"/>
        <w:ind w:left="1560" w:right="0" w:hanging="360"/>
        <w:jc w:val="left"/>
        <w:rPr>
          <w:sz w:val="20"/>
        </w:rPr>
      </w:pPr>
      <w:r>
        <w:rPr>
          <w:spacing w:val="-2"/>
          <w:sz w:val="20"/>
        </w:rPr>
        <w:t>External</w:t>
      </w:r>
      <w:r>
        <w:rPr>
          <w:spacing w:val="-10"/>
          <w:sz w:val="20"/>
        </w:rPr>
        <w:t> </w:t>
      </w:r>
      <w:r>
        <w:rPr>
          <w:spacing w:val="-2"/>
          <w:sz w:val="20"/>
        </w:rPr>
        <w:t>macro</w:t>
      </w:r>
      <w:r>
        <w:rPr>
          <w:spacing w:val="2"/>
          <w:sz w:val="20"/>
        </w:rPr>
        <w:t> </w:t>
      </w:r>
      <w:r>
        <w:rPr>
          <w:spacing w:val="-2"/>
          <w:sz w:val="20"/>
        </w:rPr>
        <w:t>pressures</w:t>
      </w:r>
      <w:r>
        <w:rPr>
          <w:spacing w:val="-8"/>
          <w:sz w:val="20"/>
        </w:rPr>
        <w:t> </w:t>
      </w:r>
      <w:r>
        <w:rPr>
          <w:spacing w:val="-2"/>
          <w:sz w:val="20"/>
        </w:rPr>
        <w:t>are</w:t>
      </w:r>
      <w:r>
        <w:rPr>
          <w:spacing w:val="2"/>
          <w:sz w:val="20"/>
        </w:rPr>
        <w:t> </w:t>
      </w:r>
      <w:r>
        <w:rPr>
          <w:spacing w:val="-2"/>
          <w:sz w:val="20"/>
        </w:rPr>
        <w:t>not</w:t>
      </w:r>
      <w:r>
        <w:rPr>
          <w:spacing w:val="4"/>
          <w:sz w:val="20"/>
        </w:rPr>
        <w:t> </w:t>
      </w:r>
      <w:r>
        <w:rPr>
          <w:spacing w:val="-2"/>
          <w:sz w:val="20"/>
        </w:rPr>
        <w:t>accounted</w:t>
      </w:r>
      <w:r>
        <w:rPr>
          <w:spacing w:val="-9"/>
          <w:sz w:val="20"/>
        </w:rPr>
        <w:t> </w:t>
      </w:r>
      <w:r>
        <w:rPr>
          <w:spacing w:val="-2"/>
          <w:sz w:val="20"/>
        </w:rPr>
        <w:t>for</w:t>
      </w:r>
      <w:r>
        <w:rPr>
          <w:spacing w:val="-3"/>
          <w:sz w:val="20"/>
        </w:rPr>
        <w:t> </w:t>
      </w:r>
      <w:r>
        <w:rPr>
          <w:spacing w:val="-2"/>
          <w:sz w:val="20"/>
        </w:rPr>
        <w:t>(e.g.</w:t>
      </w:r>
      <w:r>
        <w:rPr>
          <w:spacing w:val="4"/>
          <w:sz w:val="20"/>
        </w:rPr>
        <w:t> </w:t>
      </w:r>
      <w:r>
        <w:rPr>
          <w:spacing w:val="-2"/>
          <w:sz w:val="20"/>
        </w:rPr>
        <w:t>regulatory</w:t>
      </w:r>
      <w:r>
        <w:rPr>
          <w:spacing w:val="-1"/>
          <w:sz w:val="20"/>
        </w:rPr>
        <w:t> </w:t>
      </w:r>
      <w:r>
        <w:rPr>
          <w:spacing w:val="-2"/>
          <w:sz w:val="20"/>
        </w:rPr>
        <w:t>requirements).</w:t>
      </w:r>
    </w:p>
    <w:p>
      <w:pPr>
        <w:pStyle w:val="ListParagraph"/>
        <w:numPr>
          <w:ilvl w:val="0"/>
          <w:numId w:val="3"/>
        </w:numPr>
        <w:tabs>
          <w:tab w:pos="1560" w:val="left" w:leader="none"/>
        </w:tabs>
        <w:spacing w:line="240" w:lineRule="auto" w:before="38" w:after="0"/>
        <w:ind w:left="1560" w:right="0" w:hanging="360"/>
        <w:jc w:val="left"/>
        <w:rPr>
          <w:sz w:val="20"/>
        </w:rPr>
      </w:pPr>
      <w:r>
        <w:rPr>
          <w:sz w:val="20"/>
        </w:rPr>
        <w:t>Timing</w:t>
      </w:r>
      <w:r>
        <w:rPr>
          <w:spacing w:val="-16"/>
          <w:sz w:val="20"/>
        </w:rPr>
        <w:t> </w:t>
      </w:r>
      <w:r>
        <w:rPr>
          <w:sz w:val="20"/>
        </w:rPr>
        <w:t>of</w:t>
      </w:r>
      <w:r>
        <w:rPr>
          <w:spacing w:val="-14"/>
          <w:sz w:val="20"/>
        </w:rPr>
        <w:t> </w:t>
      </w:r>
      <w:r>
        <w:rPr>
          <w:sz w:val="20"/>
        </w:rPr>
        <w:t>cashflows</w:t>
      </w:r>
      <w:r>
        <w:rPr>
          <w:spacing w:val="-14"/>
          <w:sz w:val="20"/>
        </w:rPr>
        <w:t> </w:t>
      </w:r>
      <w:r>
        <w:rPr>
          <w:sz w:val="20"/>
        </w:rPr>
        <w:t>do</w:t>
      </w:r>
      <w:r>
        <w:rPr>
          <w:spacing w:val="-14"/>
          <w:sz w:val="20"/>
        </w:rPr>
        <w:t> </w:t>
      </w:r>
      <w:r>
        <w:rPr>
          <w:sz w:val="20"/>
        </w:rPr>
        <w:t>not</w:t>
      </w:r>
      <w:r>
        <w:rPr>
          <w:spacing w:val="-14"/>
          <w:sz w:val="20"/>
        </w:rPr>
        <w:t> </w:t>
      </w:r>
      <w:r>
        <w:rPr>
          <w:sz w:val="20"/>
        </w:rPr>
        <w:t>accurately</w:t>
      </w:r>
      <w:r>
        <w:rPr>
          <w:spacing w:val="-14"/>
          <w:sz w:val="20"/>
        </w:rPr>
        <w:t> </w:t>
      </w:r>
      <w:r>
        <w:rPr>
          <w:sz w:val="20"/>
        </w:rPr>
        <w:t>reflect</w:t>
      </w:r>
      <w:r>
        <w:rPr>
          <w:spacing w:val="-15"/>
          <w:sz w:val="20"/>
        </w:rPr>
        <w:t> </w:t>
      </w:r>
      <w:r>
        <w:rPr>
          <w:sz w:val="20"/>
        </w:rPr>
        <w:t>AAG’s</w:t>
      </w:r>
      <w:r>
        <w:rPr>
          <w:spacing w:val="-14"/>
          <w:sz w:val="20"/>
        </w:rPr>
        <w:t> </w:t>
      </w:r>
      <w:r>
        <w:rPr>
          <w:sz w:val="20"/>
        </w:rPr>
        <w:t>daily</w:t>
      </w:r>
      <w:r>
        <w:rPr>
          <w:spacing w:val="-11"/>
          <w:sz w:val="20"/>
        </w:rPr>
        <w:t> </w:t>
      </w:r>
      <w:r>
        <w:rPr>
          <w:spacing w:val="-2"/>
          <w:sz w:val="20"/>
        </w:rPr>
        <w:t>operations.</w:t>
      </w:r>
    </w:p>
    <w:p>
      <w:pPr>
        <w:pStyle w:val="Heading1"/>
        <w:spacing w:before="170"/>
      </w:pPr>
      <w:bookmarkStart w:name="Section 4 - Assumptions &amp; Justifications" w:id="7"/>
      <w:bookmarkEnd w:id="7"/>
      <w:r>
        <w:rPr>
          <w:b w:val="0"/>
        </w:rPr>
      </w:r>
      <w:r>
        <w:rPr>
          <w:color w:val="0D465F"/>
        </w:rPr>
        <w:t>Section</w:t>
      </w:r>
      <w:r>
        <w:rPr>
          <w:color w:val="0D465F"/>
          <w:spacing w:val="-18"/>
        </w:rPr>
        <w:t> </w:t>
      </w:r>
      <w:r>
        <w:rPr>
          <w:color w:val="0D465F"/>
        </w:rPr>
        <w:t>4</w:t>
      </w:r>
      <w:r>
        <w:rPr>
          <w:color w:val="0D465F"/>
          <w:spacing w:val="-10"/>
        </w:rPr>
        <w:t> </w:t>
      </w:r>
      <w:r>
        <w:rPr>
          <w:color w:val="0D465F"/>
        </w:rPr>
        <w:t>-</w:t>
      </w:r>
      <w:r>
        <w:rPr>
          <w:color w:val="0D465F"/>
          <w:spacing w:val="-13"/>
        </w:rPr>
        <w:t> </w:t>
      </w:r>
      <w:r>
        <w:rPr>
          <w:color w:val="0D465F"/>
        </w:rPr>
        <w:t>Assumptions</w:t>
      </w:r>
      <w:r>
        <w:rPr>
          <w:color w:val="0D465F"/>
          <w:spacing w:val="-8"/>
        </w:rPr>
        <w:t> </w:t>
      </w:r>
      <w:r>
        <w:rPr>
          <w:color w:val="0D465F"/>
        </w:rPr>
        <w:t>&amp;</w:t>
      </w:r>
      <w:r>
        <w:rPr>
          <w:color w:val="0D465F"/>
          <w:spacing w:val="-18"/>
        </w:rPr>
        <w:t> </w:t>
      </w:r>
      <w:r>
        <w:rPr>
          <w:color w:val="0D465F"/>
          <w:spacing w:val="-2"/>
        </w:rPr>
        <w:t>Justifications</w:t>
      </w:r>
    </w:p>
    <w:p>
      <w:pPr>
        <w:pStyle w:val="BodyText"/>
        <w:spacing w:before="162"/>
        <w:ind w:left="1200"/>
      </w:pPr>
      <w:r>
        <w:rPr/>
        <w:t>The</w:t>
      </w:r>
      <w:r>
        <w:rPr>
          <w:spacing w:val="-16"/>
        </w:rPr>
        <w:t> </w:t>
      </w:r>
      <w:r>
        <w:rPr/>
        <w:t>assumptions</w:t>
      </w:r>
      <w:r>
        <w:rPr>
          <w:spacing w:val="-14"/>
        </w:rPr>
        <w:t> </w:t>
      </w:r>
      <w:r>
        <w:rPr/>
        <w:t>behind</w:t>
      </w:r>
      <w:r>
        <w:rPr>
          <w:spacing w:val="-14"/>
        </w:rPr>
        <w:t> </w:t>
      </w:r>
      <w:r>
        <w:rPr/>
        <w:t>the</w:t>
      </w:r>
      <w:r>
        <w:rPr>
          <w:spacing w:val="-14"/>
        </w:rPr>
        <w:t> </w:t>
      </w:r>
      <w:r>
        <w:rPr/>
        <w:t>cashflow</w:t>
      </w:r>
      <w:r>
        <w:rPr>
          <w:spacing w:val="-23"/>
        </w:rPr>
        <w:t> </w:t>
      </w:r>
      <w:r>
        <w:rPr/>
        <w:t>models</w:t>
      </w:r>
      <w:r>
        <w:rPr>
          <w:spacing w:val="-13"/>
        </w:rPr>
        <w:t> </w:t>
      </w:r>
      <w:r>
        <w:rPr/>
        <w:t>and</w:t>
      </w:r>
      <w:r>
        <w:rPr>
          <w:spacing w:val="-10"/>
        </w:rPr>
        <w:t> </w:t>
      </w:r>
      <w:r>
        <w:rPr/>
        <w:t>their</w:t>
      </w:r>
      <w:r>
        <w:rPr>
          <w:spacing w:val="-22"/>
        </w:rPr>
        <w:t> </w:t>
      </w:r>
      <w:r>
        <w:rPr/>
        <w:t>materiality</w:t>
      </w:r>
      <w:r>
        <w:rPr>
          <w:spacing w:val="-8"/>
        </w:rPr>
        <w:t> </w:t>
      </w:r>
      <w:r>
        <w:rPr/>
        <w:t>were</w:t>
      </w:r>
      <w:r>
        <w:rPr>
          <w:spacing w:val="-9"/>
        </w:rPr>
        <w:t> </w:t>
      </w:r>
      <w:r>
        <w:rPr/>
        <w:t>determined</w:t>
      </w:r>
      <w:r>
        <w:rPr>
          <w:spacing w:val="-10"/>
        </w:rPr>
        <w:t> </w:t>
      </w:r>
      <w:r>
        <w:rPr/>
        <w:t>as</w:t>
      </w:r>
      <w:r>
        <w:rPr>
          <w:spacing w:val="-22"/>
        </w:rPr>
        <w:t> </w:t>
      </w:r>
      <w:r>
        <w:rPr>
          <w:spacing w:val="-2"/>
        </w:rPr>
        <w:t>follows:</w:t>
      </w:r>
    </w:p>
    <w:p>
      <w:pPr>
        <w:pStyle w:val="BodyText"/>
        <w:spacing w:before="2"/>
        <w:rPr>
          <w:sz w:val="17"/>
        </w:rPr>
      </w:pPr>
    </w:p>
    <w:tbl>
      <w:tblPr>
        <w:tblW w:w="0" w:type="auto"/>
        <w:jc w:val="left"/>
        <w:tblInd w:w="1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58"/>
        <w:gridCol w:w="7765"/>
      </w:tblGrid>
      <w:tr>
        <w:trPr>
          <w:trHeight w:val="412" w:hRule="atLeast"/>
        </w:trPr>
        <w:tc>
          <w:tcPr>
            <w:tcW w:w="1258" w:type="dxa"/>
            <w:shd w:val="clear" w:color="auto" w:fill="092D41"/>
          </w:tcPr>
          <w:p>
            <w:pPr>
              <w:pStyle w:val="TableParagraph"/>
              <w:spacing w:line="223" w:lineRule="auto" w:before="6"/>
              <w:ind w:left="115" w:right="186"/>
              <w:rPr>
                <w:b/>
                <w:sz w:val="18"/>
              </w:rPr>
            </w:pPr>
            <w:r>
              <w:rPr>
                <w:b/>
                <w:color w:val="FFFFFF"/>
                <w:spacing w:val="-4"/>
                <w:sz w:val="18"/>
              </w:rPr>
              <w:t>Assumptio </w:t>
            </w:r>
            <w:r>
              <w:rPr>
                <w:b/>
                <w:color w:val="FFFFFF"/>
                <w:spacing w:val="-10"/>
                <w:sz w:val="18"/>
              </w:rPr>
              <w:t>n</w:t>
            </w:r>
          </w:p>
        </w:tc>
        <w:tc>
          <w:tcPr>
            <w:tcW w:w="7765" w:type="dxa"/>
            <w:shd w:val="clear" w:color="auto" w:fill="092D41"/>
          </w:tcPr>
          <w:p>
            <w:pPr>
              <w:pStyle w:val="TableParagraph"/>
              <w:spacing w:line="201" w:lineRule="exact"/>
              <w:ind w:left="110"/>
              <w:rPr>
                <w:b/>
                <w:sz w:val="18"/>
              </w:rPr>
            </w:pPr>
            <w:r>
              <w:rPr>
                <w:b/>
                <w:color w:val="FFFFFF"/>
                <w:spacing w:val="-2"/>
                <w:sz w:val="18"/>
              </w:rPr>
              <w:t>Rationale</w:t>
            </w:r>
          </w:p>
        </w:tc>
      </w:tr>
      <w:tr>
        <w:trPr>
          <w:trHeight w:val="4297" w:hRule="atLeast"/>
        </w:trPr>
        <w:tc>
          <w:tcPr>
            <w:tcW w:w="1258"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72"/>
              <w:rPr>
                <w:sz w:val="18"/>
              </w:rPr>
            </w:pPr>
          </w:p>
          <w:p>
            <w:pPr>
              <w:pStyle w:val="TableParagraph"/>
              <w:ind w:left="115" w:right="276"/>
              <w:rPr>
                <w:sz w:val="18"/>
              </w:rPr>
            </w:pPr>
            <w:r>
              <w:rPr>
                <w:spacing w:val="-4"/>
                <w:sz w:val="18"/>
              </w:rPr>
              <w:t>New </w:t>
            </w:r>
            <w:r>
              <w:rPr>
                <w:spacing w:val="-2"/>
                <w:sz w:val="18"/>
              </w:rPr>
              <w:t>customer </w:t>
            </w:r>
            <w:r>
              <w:rPr>
                <w:spacing w:val="-4"/>
                <w:sz w:val="18"/>
              </w:rPr>
              <w:t>projections</w:t>
            </w:r>
          </w:p>
        </w:tc>
        <w:tc>
          <w:tcPr>
            <w:tcW w:w="7765" w:type="dxa"/>
          </w:tcPr>
          <w:p>
            <w:pPr>
              <w:pStyle w:val="TableParagraph"/>
              <w:spacing w:before="195"/>
              <w:ind w:left="110" w:right="179"/>
              <w:rPr>
                <w:sz w:val="18"/>
              </w:rPr>
            </w:pPr>
            <w:r>
              <w:rPr>
                <w:sz w:val="18"/>
              </w:rPr>
              <w:t>Per</w:t>
            </w:r>
            <w:r>
              <w:rPr>
                <w:spacing w:val="-9"/>
                <w:sz w:val="18"/>
              </w:rPr>
              <w:t> </w:t>
            </w:r>
            <w:r>
              <w:rPr>
                <w:sz w:val="18"/>
              </w:rPr>
              <w:t>AAG’s</w:t>
            </w:r>
            <w:r>
              <w:rPr>
                <w:spacing w:val="-9"/>
                <w:sz w:val="18"/>
              </w:rPr>
              <w:t> </w:t>
            </w:r>
            <w:r>
              <w:rPr>
                <w:sz w:val="18"/>
              </w:rPr>
              <w:t>policy,</w:t>
            </w:r>
            <w:r>
              <w:rPr>
                <w:spacing w:val="-2"/>
                <w:sz w:val="18"/>
              </w:rPr>
              <w:t> </w:t>
            </w:r>
            <w:r>
              <w:rPr>
                <w:sz w:val="18"/>
              </w:rPr>
              <w:t>new</w:t>
            </w:r>
            <w:r>
              <w:rPr>
                <w:spacing w:val="-7"/>
                <w:sz w:val="18"/>
              </w:rPr>
              <w:t> </w:t>
            </w:r>
            <w:r>
              <w:rPr>
                <w:sz w:val="18"/>
              </w:rPr>
              <w:t>entrants</w:t>
            </w:r>
            <w:r>
              <w:rPr>
                <w:spacing w:val="-13"/>
                <w:sz w:val="18"/>
              </w:rPr>
              <w:t> </w:t>
            </w:r>
            <w:r>
              <w:rPr>
                <w:sz w:val="18"/>
              </w:rPr>
              <w:t>can</w:t>
            </w:r>
            <w:r>
              <w:rPr>
                <w:spacing w:val="-12"/>
                <w:sz w:val="18"/>
              </w:rPr>
              <w:t> </w:t>
            </w:r>
            <w:r>
              <w:rPr>
                <w:sz w:val="18"/>
              </w:rPr>
              <w:t>join</w:t>
            </w:r>
            <w:r>
              <w:rPr>
                <w:spacing w:val="-10"/>
                <w:sz w:val="18"/>
              </w:rPr>
              <w:t> </w:t>
            </w:r>
            <w:r>
              <w:rPr>
                <w:sz w:val="18"/>
              </w:rPr>
              <w:t>within</w:t>
            </w:r>
            <w:r>
              <w:rPr>
                <w:spacing w:val="-10"/>
                <w:sz w:val="18"/>
              </w:rPr>
              <w:t> </w:t>
            </w:r>
            <w:r>
              <w:rPr>
                <w:sz w:val="18"/>
              </w:rPr>
              <w:t>12</w:t>
            </w:r>
            <w:r>
              <w:rPr>
                <w:spacing w:val="-17"/>
                <w:sz w:val="18"/>
              </w:rPr>
              <w:t> </w:t>
            </w:r>
            <w:r>
              <w:rPr>
                <w:sz w:val="18"/>
              </w:rPr>
              <w:t>months</w:t>
            </w:r>
            <w:r>
              <w:rPr>
                <w:spacing w:val="-4"/>
                <w:sz w:val="18"/>
              </w:rPr>
              <w:t> </w:t>
            </w:r>
            <w:r>
              <w:rPr>
                <w:sz w:val="18"/>
              </w:rPr>
              <w:t>of</w:t>
            </w:r>
            <w:r>
              <w:rPr>
                <w:spacing w:val="-7"/>
                <w:sz w:val="18"/>
              </w:rPr>
              <w:t> </w:t>
            </w:r>
            <w:r>
              <w:rPr>
                <w:sz w:val="18"/>
              </w:rPr>
              <w:t>their 60th</w:t>
            </w:r>
            <w:r>
              <w:rPr>
                <w:spacing w:val="-10"/>
                <w:sz w:val="18"/>
              </w:rPr>
              <w:t> </w:t>
            </w:r>
            <w:r>
              <w:rPr>
                <w:sz w:val="18"/>
              </w:rPr>
              <w:t>birthday.</w:t>
            </w:r>
            <w:r>
              <w:rPr>
                <w:spacing w:val="-3"/>
                <w:sz w:val="18"/>
              </w:rPr>
              <w:t> </w:t>
            </w:r>
            <w:r>
              <w:rPr>
                <w:sz w:val="18"/>
              </w:rPr>
              <w:t>Forecasts</w:t>
            </w:r>
            <w:r>
              <w:rPr>
                <w:spacing w:val="-12"/>
                <w:sz w:val="18"/>
              </w:rPr>
              <w:t> </w:t>
            </w:r>
            <w:r>
              <w:rPr>
                <w:sz w:val="18"/>
              </w:rPr>
              <w:t>from 2025-2030 show linear growth from 2025-2029, followed by a slight decline in 2030. Due to operational</w:t>
            </w:r>
            <w:r>
              <w:rPr>
                <w:spacing w:val="-2"/>
                <w:sz w:val="18"/>
              </w:rPr>
              <w:t> </w:t>
            </w:r>
            <w:r>
              <w:rPr>
                <w:sz w:val="18"/>
              </w:rPr>
              <w:t>constraints,</w:t>
            </w:r>
            <w:r>
              <w:rPr>
                <w:spacing w:val="-3"/>
                <w:sz w:val="18"/>
              </w:rPr>
              <w:t> </w:t>
            </w:r>
            <w:r>
              <w:rPr>
                <w:sz w:val="18"/>
              </w:rPr>
              <w:t>a</w:t>
            </w:r>
            <w:r>
              <w:rPr>
                <w:spacing w:val="-12"/>
                <w:sz w:val="18"/>
              </w:rPr>
              <w:t> </w:t>
            </w:r>
            <w:r>
              <w:rPr>
                <w:sz w:val="18"/>
              </w:rPr>
              <w:t>maximum capacity</w:t>
            </w:r>
            <w:r>
              <w:rPr>
                <w:spacing w:val="-3"/>
                <w:sz w:val="18"/>
              </w:rPr>
              <w:t> </w:t>
            </w:r>
            <w:r>
              <w:rPr>
                <w:sz w:val="18"/>
              </w:rPr>
              <w:t>ceiling</w:t>
            </w:r>
            <w:r>
              <w:rPr>
                <w:spacing w:val="-5"/>
                <w:sz w:val="18"/>
              </w:rPr>
              <w:t> </w:t>
            </w:r>
            <w:r>
              <w:rPr>
                <w:sz w:val="18"/>
              </w:rPr>
              <w:t>via</w:t>
            </w:r>
            <w:r>
              <w:rPr>
                <w:spacing w:val="-5"/>
                <w:sz w:val="18"/>
              </w:rPr>
              <w:t> </w:t>
            </w:r>
            <w:r>
              <w:rPr>
                <w:sz w:val="18"/>
              </w:rPr>
              <w:t>a</w:t>
            </w:r>
            <w:r>
              <w:rPr>
                <w:spacing w:val="-5"/>
                <w:sz w:val="18"/>
              </w:rPr>
              <w:t> </w:t>
            </w:r>
            <w:r>
              <w:rPr>
                <w:sz w:val="18"/>
              </w:rPr>
              <w:t>logarithmic</w:t>
            </w:r>
            <w:r>
              <w:rPr>
                <w:spacing w:val="-8"/>
                <w:sz w:val="18"/>
              </w:rPr>
              <w:t> </w:t>
            </w:r>
            <w:r>
              <w:rPr>
                <w:sz w:val="18"/>
              </w:rPr>
              <w:t>model was</w:t>
            </w:r>
            <w:r>
              <w:rPr>
                <w:spacing w:val="-8"/>
                <w:sz w:val="18"/>
              </w:rPr>
              <w:t> </w:t>
            </w:r>
            <w:r>
              <w:rPr>
                <w:sz w:val="18"/>
              </w:rPr>
              <w:t>introduced to prevent overestimations. Entry</w:t>
            </w:r>
            <w:r>
              <w:rPr>
                <w:spacing w:val="-6"/>
                <w:sz w:val="18"/>
              </w:rPr>
              <w:t> </w:t>
            </w:r>
            <w:r>
              <w:rPr>
                <w:sz w:val="18"/>
              </w:rPr>
              <w:t>rate</w:t>
            </w:r>
            <w:r>
              <w:rPr>
                <w:spacing w:val="-9"/>
                <w:sz w:val="18"/>
              </w:rPr>
              <w:t> </w:t>
            </w:r>
            <w:r>
              <w:rPr>
                <w:sz w:val="18"/>
              </w:rPr>
              <w:t>decreases</w:t>
            </w:r>
            <w:r>
              <w:rPr>
                <w:spacing w:val="-4"/>
                <w:sz w:val="18"/>
              </w:rPr>
              <w:t> </w:t>
            </w:r>
            <w:r>
              <w:rPr>
                <w:sz w:val="18"/>
              </w:rPr>
              <w:t>may</w:t>
            </w:r>
            <w:r>
              <w:rPr>
                <w:spacing w:val="-9"/>
                <w:sz w:val="18"/>
              </w:rPr>
              <w:t> </w:t>
            </w:r>
            <w:r>
              <w:rPr>
                <w:sz w:val="18"/>
              </w:rPr>
              <w:t>have</w:t>
            </w:r>
            <w:r>
              <w:rPr>
                <w:spacing w:val="-18"/>
                <w:sz w:val="18"/>
              </w:rPr>
              <w:t> </w:t>
            </w:r>
            <w:r>
              <w:rPr>
                <w:sz w:val="18"/>
              </w:rPr>
              <w:t>moderate</w:t>
            </w:r>
            <w:r>
              <w:rPr>
                <w:spacing w:val="-9"/>
                <w:sz w:val="18"/>
              </w:rPr>
              <w:t> </w:t>
            </w:r>
            <w:r>
              <w:rPr>
                <w:sz w:val="18"/>
              </w:rPr>
              <w:t>financial</w:t>
            </w:r>
            <w:r>
              <w:rPr>
                <w:spacing w:val="-6"/>
                <w:sz w:val="18"/>
              </w:rPr>
              <w:t> </w:t>
            </w:r>
            <w:r>
              <w:rPr>
                <w:sz w:val="18"/>
              </w:rPr>
              <w:t>impact</w:t>
            </w:r>
            <w:r>
              <w:rPr>
                <w:spacing w:val="-3"/>
                <w:sz w:val="18"/>
              </w:rPr>
              <w:t> </w:t>
            </w:r>
            <w:r>
              <w:rPr>
                <w:sz w:val="18"/>
              </w:rPr>
              <w:t>but</w:t>
            </w:r>
            <w:r>
              <w:rPr>
                <w:spacing w:val="-7"/>
                <w:sz w:val="18"/>
              </w:rPr>
              <w:t> </w:t>
            </w:r>
            <w:r>
              <w:rPr>
                <w:sz w:val="18"/>
              </w:rPr>
              <w:t>can</w:t>
            </w:r>
            <w:r>
              <w:rPr>
                <w:spacing w:val="-9"/>
                <w:sz w:val="18"/>
              </w:rPr>
              <w:t> </w:t>
            </w:r>
            <w:r>
              <w:rPr>
                <w:sz w:val="18"/>
              </w:rPr>
              <w:t>be controlled via marketing or advertising.</w:t>
            </w:r>
          </w:p>
          <w:p>
            <w:pPr>
              <w:pStyle w:val="TableParagraph"/>
              <w:spacing w:before="33"/>
              <w:rPr>
                <w:sz w:val="20"/>
              </w:rPr>
            </w:pPr>
          </w:p>
          <w:p>
            <w:pPr>
              <w:pStyle w:val="TableParagraph"/>
              <w:ind w:left="1686"/>
              <w:rPr>
                <w:sz w:val="20"/>
              </w:rPr>
            </w:pPr>
            <w:r>
              <w:rPr>
                <w:sz w:val="20"/>
              </w:rPr>
              <w:drawing>
                <wp:inline distT="0" distB="0" distL="0" distR="0">
                  <wp:extent cx="2737909" cy="1228725"/>
                  <wp:effectExtent l="0" t="0" r="0" b="0"/>
                  <wp:docPr id="42" name="Image 42" descr="A graph with a line  AI-generated content may be incorrect."/>
                  <wp:cNvGraphicFramePr>
                    <a:graphicFrameLocks/>
                  </wp:cNvGraphicFramePr>
                  <a:graphic>
                    <a:graphicData uri="http://schemas.openxmlformats.org/drawingml/2006/picture">
                      <pic:pic>
                        <pic:nvPicPr>
                          <pic:cNvPr id="42" name="Image 42" descr="A graph with a line  AI-generated content may be incorrect."/>
                          <pic:cNvPicPr/>
                        </pic:nvPicPr>
                        <pic:blipFill>
                          <a:blip r:embed="rId35" cstate="print"/>
                          <a:stretch>
                            <a:fillRect/>
                          </a:stretch>
                        </pic:blipFill>
                        <pic:spPr>
                          <a:xfrm>
                            <a:off x="0" y="0"/>
                            <a:ext cx="2737909" cy="1228725"/>
                          </a:xfrm>
                          <a:prstGeom prst="rect">
                            <a:avLst/>
                          </a:prstGeom>
                        </pic:spPr>
                      </pic:pic>
                    </a:graphicData>
                  </a:graphic>
                </wp:inline>
              </w:drawing>
            </w:r>
            <w:r>
              <w:rPr>
                <w:sz w:val="20"/>
              </w:rPr>
            </w:r>
          </w:p>
          <w:p>
            <w:pPr>
              <w:pStyle w:val="TableParagraph"/>
              <w:spacing w:before="27"/>
              <w:rPr>
                <w:sz w:val="18"/>
              </w:rPr>
            </w:pPr>
          </w:p>
          <w:p>
            <w:pPr>
              <w:pStyle w:val="TableParagraph"/>
              <w:ind w:left="110"/>
              <w:rPr>
                <w:sz w:val="18"/>
              </w:rPr>
            </w:pPr>
            <w:r>
              <w:rPr>
                <w:sz w:val="18"/>
              </w:rPr>
              <w:t>Gender</w:t>
            </w:r>
            <w:r>
              <w:rPr>
                <w:spacing w:val="-2"/>
                <w:sz w:val="18"/>
              </w:rPr>
              <w:t> </w:t>
            </w:r>
            <w:r>
              <w:rPr>
                <w:sz w:val="18"/>
              </w:rPr>
              <w:t>ratio</w:t>
            </w:r>
            <w:r>
              <w:rPr>
                <w:spacing w:val="-8"/>
                <w:sz w:val="18"/>
              </w:rPr>
              <w:t> </w:t>
            </w:r>
            <w:r>
              <w:rPr>
                <w:sz w:val="18"/>
              </w:rPr>
              <w:t>for</w:t>
            </w:r>
            <w:r>
              <w:rPr>
                <w:spacing w:val="-7"/>
                <w:sz w:val="18"/>
              </w:rPr>
              <w:t> </w:t>
            </w:r>
            <w:r>
              <w:rPr>
                <w:sz w:val="18"/>
              </w:rPr>
              <w:t>new</w:t>
            </w:r>
            <w:r>
              <w:rPr>
                <w:spacing w:val="-6"/>
                <w:sz w:val="18"/>
              </w:rPr>
              <w:t> </w:t>
            </w:r>
            <w:r>
              <w:rPr>
                <w:sz w:val="18"/>
              </w:rPr>
              <w:t>entrants</w:t>
            </w:r>
            <w:r>
              <w:rPr>
                <w:spacing w:val="-4"/>
                <w:sz w:val="18"/>
              </w:rPr>
              <w:t> </w:t>
            </w:r>
            <w:r>
              <w:rPr>
                <w:sz w:val="18"/>
              </w:rPr>
              <w:t>was</w:t>
            </w:r>
            <w:r>
              <w:rPr>
                <w:spacing w:val="-9"/>
                <w:sz w:val="18"/>
              </w:rPr>
              <w:t> </w:t>
            </w:r>
            <w:r>
              <w:rPr>
                <w:sz w:val="18"/>
              </w:rPr>
              <w:t>based</w:t>
            </w:r>
            <w:r>
              <w:rPr>
                <w:spacing w:val="-5"/>
                <w:sz w:val="18"/>
              </w:rPr>
              <w:t> </w:t>
            </w:r>
            <w:r>
              <w:rPr>
                <w:sz w:val="18"/>
              </w:rPr>
              <w:t>on</w:t>
            </w:r>
            <w:r>
              <w:rPr>
                <w:spacing w:val="-13"/>
                <w:sz w:val="18"/>
              </w:rPr>
              <w:t> </w:t>
            </w:r>
            <w:r>
              <w:rPr>
                <w:sz w:val="18"/>
              </w:rPr>
              <w:t>Australia’s</w:t>
            </w:r>
            <w:r>
              <w:rPr>
                <w:spacing w:val="-4"/>
                <w:sz w:val="18"/>
              </w:rPr>
              <w:t> </w:t>
            </w:r>
            <w:r>
              <w:rPr>
                <w:sz w:val="18"/>
              </w:rPr>
              <w:t>2023</w:t>
            </w:r>
            <w:r>
              <w:rPr>
                <w:spacing w:val="-13"/>
                <w:sz w:val="18"/>
              </w:rPr>
              <w:t> </w:t>
            </w:r>
            <w:r>
              <w:rPr>
                <w:sz w:val="18"/>
              </w:rPr>
              <w:t>aged care</w:t>
            </w:r>
            <w:r>
              <w:rPr>
                <w:spacing w:val="-10"/>
                <w:sz w:val="18"/>
              </w:rPr>
              <w:t> </w:t>
            </w:r>
            <w:r>
              <w:rPr>
                <w:sz w:val="18"/>
              </w:rPr>
              <w:t>findings</w:t>
            </w:r>
            <w:r>
              <w:rPr>
                <w:spacing w:val="-9"/>
                <w:sz w:val="18"/>
              </w:rPr>
              <w:t> </w:t>
            </w:r>
            <w:r>
              <w:rPr>
                <w:sz w:val="18"/>
              </w:rPr>
              <w:t>(AIHW,</w:t>
            </w:r>
            <w:r>
              <w:rPr>
                <w:spacing w:val="-7"/>
                <w:sz w:val="18"/>
              </w:rPr>
              <w:t> </w:t>
            </w:r>
            <w:r>
              <w:rPr>
                <w:sz w:val="18"/>
              </w:rPr>
              <w:t>2024). Immaterial as aged care costs are independent of gender, following an age-based structure.</w:t>
            </w:r>
          </w:p>
        </w:tc>
      </w:tr>
      <w:tr>
        <w:trPr>
          <w:trHeight w:val="6539" w:hRule="atLeast"/>
        </w:trPr>
        <w:tc>
          <w:tcPr>
            <w:tcW w:w="1258"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44"/>
              <w:rPr>
                <w:sz w:val="18"/>
              </w:rPr>
            </w:pPr>
          </w:p>
          <w:p>
            <w:pPr>
              <w:pStyle w:val="TableParagraph"/>
              <w:spacing w:line="242" w:lineRule="auto"/>
              <w:ind w:left="115" w:right="186"/>
              <w:rPr>
                <w:sz w:val="18"/>
              </w:rPr>
            </w:pPr>
            <w:r>
              <w:rPr>
                <w:spacing w:val="-4"/>
                <w:sz w:val="18"/>
              </w:rPr>
              <w:t>Customers </w:t>
            </w:r>
            <w:r>
              <w:rPr>
                <w:sz w:val="18"/>
              </w:rPr>
              <w:t>exiting via </w:t>
            </w:r>
            <w:r>
              <w:rPr>
                <w:spacing w:val="-2"/>
                <w:sz w:val="18"/>
              </w:rPr>
              <w:t>death</w:t>
            </w:r>
          </w:p>
        </w:tc>
        <w:tc>
          <w:tcPr>
            <w:tcW w:w="7765" w:type="dxa"/>
          </w:tcPr>
          <w:p>
            <w:pPr>
              <w:pStyle w:val="TableParagraph"/>
              <w:spacing w:before="195"/>
              <w:ind w:left="110" w:right="179"/>
              <w:rPr>
                <w:sz w:val="18"/>
              </w:rPr>
            </w:pPr>
            <w:r>
              <w:rPr>
                <w:sz w:val="18"/>
              </w:rPr>
              <w:t>AAG</w:t>
            </w:r>
            <w:r>
              <w:rPr>
                <w:spacing w:val="-2"/>
                <w:sz w:val="18"/>
              </w:rPr>
              <w:t> </w:t>
            </w:r>
            <w:r>
              <w:rPr>
                <w:sz w:val="18"/>
              </w:rPr>
              <w:t>does not</w:t>
            </w:r>
            <w:r>
              <w:rPr>
                <w:spacing w:val="-7"/>
                <w:sz w:val="18"/>
              </w:rPr>
              <w:t> </w:t>
            </w:r>
            <w:r>
              <w:rPr>
                <w:sz w:val="18"/>
              </w:rPr>
              <w:t>require</w:t>
            </w:r>
            <w:r>
              <w:rPr>
                <w:spacing w:val="-9"/>
                <w:sz w:val="18"/>
              </w:rPr>
              <w:t> </w:t>
            </w:r>
            <w:r>
              <w:rPr>
                <w:sz w:val="18"/>
              </w:rPr>
              <w:t>customers</w:t>
            </w:r>
            <w:r>
              <w:rPr>
                <w:spacing w:val="-12"/>
                <w:sz w:val="18"/>
              </w:rPr>
              <w:t> </w:t>
            </w:r>
            <w:r>
              <w:rPr>
                <w:sz w:val="18"/>
              </w:rPr>
              <w:t>to</w:t>
            </w:r>
            <w:r>
              <w:rPr>
                <w:spacing w:val="-10"/>
                <w:sz w:val="18"/>
              </w:rPr>
              <w:t> </w:t>
            </w:r>
            <w:r>
              <w:rPr>
                <w:sz w:val="18"/>
              </w:rPr>
              <w:t>remain</w:t>
            </w:r>
            <w:r>
              <w:rPr>
                <w:spacing w:val="-13"/>
                <w:sz w:val="18"/>
              </w:rPr>
              <w:t> </w:t>
            </w:r>
            <w:r>
              <w:rPr>
                <w:sz w:val="18"/>
              </w:rPr>
              <w:t>in</w:t>
            </w:r>
            <w:r>
              <w:rPr>
                <w:spacing w:val="-4"/>
                <w:sz w:val="18"/>
              </w:rPr>
              <w:t> </w:t>
            </w:r>
            <w:r>
              <w:rPr>
                <w:sz w:val="18"/>
              </w:rPr>
              <w:t>aged</w:t>
            </w:r>
            <w:r>
              <w:rPr>
                <w:spacing w:val="-5"/>
                <w:sz w:val="18"/>
              </w:rPr>
              <w:t> </w:t>
            </w:r>
            <w:r>
              <w:rPr>
                <w:sz w:val="18"/>
              </w:rPr>
              <w:t>care</w:t>
            </w:r>
            <w:r>
              <w:rPr>
                <w:spacing w:val="-10"/>
                <w:sz w:val="18"/>
              </w:rPr>
              <w:t> </w:t>
            </w:r>
            <w:r>
              <w:rPr>
                <w:sz w:val="18"/>
              </w:rPr>
              <w:t>services for</w:t>
            </w:r>
            <w:r>
              <w:rPr>
                <w:spacing w:val="-11"/>
                <w:sz w:val="18"/>
              </w:rPr>
              <w:t> </w:t>
            </w:r>
            <w:r>
              <w:rPr>
                <w:sz w:val="18"/>
              </w:rPr>
              <w:t>life. However,</w:t>
            </w:r>
            <w:r>
              <w:rPr>
                <w:spacing w:val="-3"/>
                <w:sz w:val="18"/>
              </w:rPr>
              <w:t> </w:t>
            </w:r>
            <w:r>
              <w:rPr>
                <w:sz w:val="18"/>
              </w:rPr>
              <w:t>to</w:t>
            </w:r>
            <w:r>
              <w:rPr>
                <w:spacing w:val="-8"/>
                <w:sz w:val="18"/>
              </w:rPr>
              <w:t> </w:t>
            </w:r>
            <w:r>
              <w:rPr>
                <w:sz w:val="18"/>
              </w:rPr>
              <w:t>be conservative AAG assumes customers exit only due to death with early exits reducing </w:t>
            </w:r>
            <w:r>
              <w:rPr>
                <w:spacing w:val="-2"/>
                <w:sz w:val="18"/>
              </w:rPr>
              <w:t>liabilities.</w:t>
            </w:r>
          </w:p>
          <w:p>
            <w:pPr>
              <w:pStyle w:val="TableParagraph"/>
              <w:spacing w:before="206"/>
              <w:ind w:left="110" w:right="179"/>
              <w:rPr>
                <w:sz w:val="18"/>
              </w:rPr>
            </w:pPr>
            <w:r>
              <w:rPr>
                <w:sz w:val="18"/>
              </w:rPr>
              <w:t>AAG provided mortality rates for ages 60-88, following an exponential trend. The rates are assumed to reflect national trends as they align with Australian Life Tables (Australian Government Actuary,</w:t>
            </w:r>
            <w:r>
              <w:rPr>
                <w:spacing w:val="-2"/>
                <w:sz w:val="18"/>
              </w:rPr>
              <w:t> </w:t>
            </w:r>
            <w:r>
              <w:rPr>
                <w:sz w:val="18"/>
              </w:rPr>
              <w:t>2024). Life</w:t>
            </w:r>
            <w:r>
              <w:rPr>
                <w:spacing w:val="-2"/>
                <w:sz w:val="18"/>
              </w:rPr>
              <w:t> </w:t>
            </w:r>
            <w:r>
              <w:rPr>
                <w:sz w:val="18"/>
              </w:rPr>
              <w:t>tables</w:t>
            </w:r>
            <w:r>
              <w:rPr>
                <w:spacing w:val="-3"/>
                <w:sz w:val="18"/>
              </w:rPr>
              <w:t> </w:t>
            </w:r>
            <w:r>
              <w:rPr>
                <w:sz w:val="18"/>
              </w:rPr>
              <w:t>indicate</w:t>
            </w:r>
            <w:r>
              <w:rPr>
                <w:spacing w:val="-13"/>
                <w:sz w:val="18"/>
              </w:rPr>
              <w:t> </w:t>
            </w:r>
            <w:r>
              <w:rPr>
                <w:sz w:val="18"/>
              </w:rPr>
              <w:t>mortality</w:t>
            </w:r>
            <w:r>
              <w:rPr>
                <w:spacing w:val="-7"/>
                <w:sz w:val="18"/>
              </w:rPr>
              <w:t> </w:t>
            </w:r>
            <w:r>
              <w:rPr>
                <w:sz w:val="18"/>
              </w:rPr>
              <w:t>rates</w:t>
            </w:r>
            <w:r>
              <w:rPr>
                <w:spacing w:val="-2"/>
                <w:sz w:val="18"/>
              </w:rPr>
              <w:t> </w:t>
            </w:r>
            <w:r>
              <w:rPr>
                <w:sz w:val="18"/>
              </w:rPr>
              <w:t>increase</w:t>
            </w:r>
            <w:r>
              <w:rPr>
                <w:spacing w:val="-4"/>
                <w:sz w:val="18"/>
              </w:rPr>
              <w:t> </w:t>
            </w:r>
            <w:r>
              <w:rPr>
                <w:sz w:val="18"/>
              </w:rPr>
              <w:t>at</w:t>
            </w:r>
            <w:r>
              <w:rPr>
                <w:spacing w:val="-2"/>
                <w:sz w:val="18"/>
              </w:rPr>
              <w:t> </w:t>
            </w:r>
            <w:r>
              <w:rPr>
                <w:sz w:val="18"/>
              </w:rPr>
              <w:t>a</w:t>
            </w:r>
            <w:r>
              <w:rPr>
                <w:spacing w:val="-4"/>
                <w:sz w:val="18"/>
              </w:rPr>
              <w:t> </w:t>
            </w:r>
            <w:r>
              <w:rPr>
                <w:sz w:val="18"/>
              </w:rPr>
              <w:t>decreasing</w:t>
            </w:r>
            <w:r>
              <w:rPr>
                <w:spacing w:val="-4"/>
                <w:sz w:val="18"/>
              </w:rPr>
              <w:t> </w:t>
            </w:r>
            <w:r>
              <w:rPr>
                <w:sz w:val="18"/>
              </w:rPr>
              <w:t>rate beyond</w:t>
            </w:r>
            <w:r>
              <w:rPr>
                <w:spacing w:val="-2"/>
                <w:sz w:val="18"/>
              </w:rPr>
              <w:t> </w:t>
            </w:r>
            <w:r>
              <w:rPr>
                <w:sz w:val="18"/>
              </w:rPr>
              <w:t>age</w:t>
            </w:r>
            <w:r>
              <w:rPr>
                <w:spacing w:val="-10"/>
                <w:sz w:val="18"/>
              </w:rPr>
              <w:t> </w:t>
            </w:r>
            <w:r>
              <w:rPr>
                <w:sz w:val="18"/>
              </w:rPr>
              <w:t>90,</w:t>
            </w:r>
            <w:r>
              <w:rPr>
                <w:spacing w:val="-2"/>
                <w:sz w:val="18"/>
              </w:rPr>
              <w:t> </w:t>
            </w:r>
            <w:r>
              <w:rPr>
                <w:sz w:val="18"/>
              </w:rPr>
              <w:t>so</w:t>
            </w:r>
            <w:r>
              <w:rPr>
                <w:spacing w:val="-13"/>
                <w:sz w:val="18"/>
              </w:rPr>
              <w:t> </w:t>
            </w:r>
            <w:r>
              <w:rPr>
                <w:sz w:val="18"/>
              </w:rPr>
              <w:t>forecasted</w:t>
            </w:r>
            <w:r>
              <w:rPr>
                <w:spacing w:val="-4"/>
                <w:sz w:val="18"/>
              </w:rPr>
              <w:t> </w:t>
            </w:r>
            <w:r>
              <w:rPr>
                <w:sz w:val="18"/>
              </w:rPr>
              <w:t>rates followed</w:t>
            </w:r>
            <w:r>
              <w:rPr>
                <w:spacing w:val="-1"/>
                <w:sz w:val="18"/>
              </w:rPr>
              <w:t> </w:t>
            </w:r>
            <w:r>
              <w:rPr>
                <w:sz w:val="18"/>
              </w:rPr>
              <w:t>a</w:t>
            </w:r>
            <w:r>
              <w:rPr>
                <w:spacing w:val="-8"/>
                <w:sz w:val="18"/>
              </w:rPr>
              <w:t> </w:t>
            </w:r>
            <w:r>
              <w:rPr>
                <w:sz w:val="18"/>
              </w:rPr>
              <w:t>similar</w:t>
            </w:r>
            <w:r>
              <w:rPr>
                <w:spacing w:val="-8"/>
                <w:sz w:val="18"/>
              </w:rPr>
              <w:t> </w:t>
            </w:r>
            <w:r>
              <w:rPr>
                <w:sz w:val="18"/>
              </w:rPr>
              <w:t>pattern.</w:t>
            </w:r>
            <w:r>
              <w:rPr>
                <w:spacing w:val="-14"/>
                <w:sz w:val="18"/>
              </w:rPr>
              <w:t> </w:t>
            </w:r>
            <w:r>
              <w:rPr>
                <w:sz w:val="18"/>
              </w:rPr>
              <w:t>Ages were</w:t>
            </w:r>
            <w:r>
              <w:rPr>
                <w:spacing w:val="-10"/>
                <w:sz w:val="18"/>
              </w:rPr>
              <w:t> </w:t>
            </w:r>
            <w:r>
              <w:rPr>
                <w:sz w:val="18"/>
              </w:rPr>
              <w:t>projected up</w:t>
            </w:r>
            <w:r>
              <w:rPr>
                <w:spacing w:val="-13"/>
                <w:sz w:val="18"/>
              </w:rPr>
              <w:t> </w:t>
            </w:r>
            <w:r>
              <w:rPr>
                <w:sz w:val="18"/>
              </w:rPr>
              <w:t>to</w:t>
            </w:r>
            <w:r>
              <w:rPr>
                <w:spacing w:val="-10"/>
                <w:sz w:val="18"/>
              </w:rPr>
              <w:t> </w:t>
            </w:r>
            <w:r>
              <w:rPr>
                <w:sz w:val="18"/>
              </w:rPr>
              <w:t>120 for extreme longevity cases (which could be material) and ensure comprehensive liability </w:t>
            </w:r>
            <w:r>
              <w:rPr>
                <w:spacing w:val="-2"/>
                <w:sz w:val="18"/>
              </w:rPr>
              <w:t>projections.</w:t>
            </w:r>
          </w:p>
          <w:p>
            <w:pPr>
              <w:pStyle w:val="TableParagraph"/>
              <w:spacing w:before="6"/>
              <w:rPr>
                <w:sz w:val="17"/>
              </w:rPr>
            </w:pPr>
          </w:p>
          <w:p>
            <w:pPr>
              <w:pStyle w:val="TableParagraph"/>
              <w:ind w:left="1271"/>
              <w:rPr>
                <w:sz w:val="20"/>
              </w:rPr>
            </w:pPr>
            <w:r>
              <w:rPr>
                <w:sz w:val="20"/>
              </w:rPr>
              <w:drawing>
                <wp:inline distT="0" distB="0" distL="0" distR="0">
                  <wp:extent cx="3105206" cy="2279904"/>
                  <wp:effectExtent l="0" t="0" r="0" b="0"/>
                  <wp:docPr id="43" name="Image 43" descr="A graph of a number of individuals  AI-generated content may be incorrect."/>
                  <wp:cNvGraphicFramePr>
                    <a:graphicFrameLocks/>
                  </wp:cNvGraphicFramePr>
                  <a:graphic>
                    <a:graphicData uri="http://schemas.openxmlformats.org/drawingml/2006/picture">
                      <pic:pic>
                        <pic:nvPicPr>
                          <pic:cNvPr id="43" name="Image 43" descr="A graph of a number of individuals  AI-generated content may be incorrect."/>
                          <pic:cNvPicPr/>
                        </pic:nvPicPr>
                        <pic:blipFill>
                          <a:blip r:embed="rId36" cstate="print"/>
                          <a:stretch>
                            <a:fillRect/>
                          </a:stretch>
                        </pic:blipFill>
                        <pic:spPr>
                          <a:xfrm>
                            <a:off x="0" y="0"/>
                            <a:ext cx="3105206" cy="2279904"/>
                          </a:xfrm>
                          <a:prstGeom prst="rect">
                            <a:avLst/>
                          </a:prstGeom>
                        </pic:spPr>
                      </pic:pic>
                    </a:graphicData>
                  </a:graphic>
                </wp:inline>
              </w:drawing>
            </w:r>
            <w:r>
              <w:rPr>
                <w:sz w:val="20"/>
              </w:rPr>
            </w:r>
          </w:p>
          <w:p>
            <w:pPr>
              <w:pStyle w:val="TableParagraph"/>
              <w:rPr>
                <w:sz w:val="20"/>
              </w:rPr>
            </w:pPr>
          </w:p>
          <w:p>
            <w:pPr>
              <w:pStyle w:val="TableParagraph"/>
              <w:spacing w:before="22"/>
              <w:rPr>
                <w:sz w:val="20"/>
              </w:rPr>
            </w:pPr>
          </w:p>
        </w:tc>
      </w:tr>
    </w:tbl>
    <w:p>
      <w:pPr>
        <w:spacing w:after="0"/>
        <w:rPr>
          <w:sz w:val="20"/>
        </w:rPr>
        <w:sectPr>
          <w:pgSz w:w="11910" w:h="16840"/>
          <w:pgMar w:header="0" w:footer="714" w:top="360" w:bottom="900" w:left="240" w:right="1240"/>
        </w:sectPr>
      </w:pPr>
    </w:p>
    <w:p>
      <w:pPr>
        <w:pStyle w:val="BodyText"/>
      </w:pPr>
      <w:r>
        <w:rPr/>
        <w:drawing>
          <wp:anchor distT="0" distB="0" distL="0" distR="0" allowOverlap="1" layoutInCell="1" locked="0" behindDoc="1" simplePos="0" relativeHeight="487151104">
            <wp:simplePos x="0" y="0"/>
            <wp:positionH relativeFrom="page">
              <wp:posOffset>227965</wp:posOffset>
            </wp:positionH>
            <wp:positionV relativeFrom="page">
              <wp:posOffset>245770</wp:posOffset>
            </wp:positionV>
            <wp:extent cx="1465529" cy="1019175"/>
            <wp:effectExtent l="0" t="0" r="0" b="0"/>
            <wp:wrapNone/>
            <wp:docPr id="44" name="Image 44"/>
            <wp:cNvGraphicFramePr>
              <a:graphicFrameLocks/>
            </wp:cNvGraphicFramePr>
            <a:graphic>
              <a:graphicData uri="http://schemas.openxmlformats.org/drawingml/2006/picture">
                <pic:pic>
                  <pic:nvPicPr>
                    <pic:cNvPr id="44" name="Image 44"/>
                    <pic:cNvPicPr/>
                  </pic:nvPicPr>
                  <pic:blipFill>
                    <a:blip r:embed="rId26" cstate="print"/>
                    <a:stretch>
                      <a:fillRect/>
                    </a:stretch>
                  </pic:blipFill>
                  <pic:spPr>
                    <a:xfrm>
                      <a:off x="0" y="0"/>
                      <a:ext cx="1465529" cy="1019175"/>
                    </a:xfrm>
                    <a:prstGeom prst="rect">
                      <a:avLst/>
                    </a:prstGeom>
                  </pic:spPr>
                </pic:pic>
              </a:graphicData>
            </a:graphic>
          </wp:anchor>
        </w:drawing>
      </w:r>
    </w:p>
    <w:p>
      <w:pPr>
        <w:pStyle w:val="BodyText"/>
      </w:pPr>
    </w:p>
    <w:p>
      <w:pPr>
        <w:pStyle w:val="BodyText"/>
      </w:pPr>
    </w:p>
    <w:p>
      <w:pPr>
        <w:pStyle w:val="BodyText"/>
        <w:spacing w:before="122" w:after="1"/>
      </w:pPr>
    </w:p>
    <w:tbl>
      <w:tblPr>
        <w:tblW w:w="0" w:type="auto"/>
        <w:jc w:val="left"/>
        <w:tblInd w:w="1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58"/>
        <w:gridCol w:w="7765"/>
      </w:tblGrid>
      <w:tr>
        <w:trPr>
          <w:trHeight w:val="6299" w:hRule="atLeast"/>
        </w:trPr>
        <w:tc>
          <w:tcPr>
            <w:tcW w:w="1258"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30"/>
              <w:rPr>
                <w:sz w:val="18"/>
              </w:rPr>
            </w:pPr>
          </w:p>
          <w:p>
            <w:pPr>
              <w:pStyle w:val="TableParagraph"/>
              <w:ind w:left="115" w:right="269"/>
              <w:rPr>
                <w:sz w:val="18"/>
              </w:rPr>
            </w:pPr>
            <w:r>
              <w:rPr>
                <w:sz w:val="18"/>
              </w:rPr>
              <w:t>Age</w:t>
            </w:r>
            <w:r>
              <w:rPr>
                <w:spacing w:val="-17"/>
                <w:sz w:val="18"/>
              </w:rPr>
              <w:t> </w:t>
            </w:r>
            <w:r>
              <w:rPr>
                <w:sz w:val="18"/>
              </w:rPr>
              <w:t>profile </w:t>
            </w:r>
            <w:r>
              <w:rPr>
                <w:spacing w:val="-2"/>
                <w:sz w:val="18"/>
              </w:rPr>
              <w:t>groups</w:t>
            </w:r>
          </w:p>
        </w:tc>
        <w:tc>
          <w:tcPr>
            <w:tcW w:w="7765" w:type="dxa"/>
          </w:tcPr>
          <w:p>
            <w:pPr>
              <w:pStyle w:val="TableParagraph"/>
              <w:spacing w:before="195"/>
              <w:ind w:left="110" w:right="136"/>
              <w:rPr>
                <w:sz w:val="18"/>
              </w:rPr>
            </w:pPr>
            <w:r>
              <w:rPr>
                <w:sz w:val="18"/>
              </w:rPr>
              <w:t>Customers</w:t>
            </w:r>
            <w:r>
              <w:rPr>
                <w:spacing w:val="-4"/>
                <w:sz w:val="18"/>
              </w:rPr>
              <w:t> </w:t>
            </w:r>
            <w:r>
              <w:rPr>
                <w:sz w:val="18"/>
              </w:rPr>
              <w:t>have</w:t>
            </w:r>
            <w:r>
              <w:rPr>
                <w:spacing w:val="-9"/>
                <w:sz w:val="18"/>
              </w:rPr>
              <w:t> </w:t>
            </w:r>
            <w:r>
              <w:rPr>
                <w:sz w:val="18"/>
              </w:rPr>
              <w:t>been grouped</w:t>
            </w:r>
            <w:r>
              <w:rPr>
                <w:spacing w:val="-5"/>
                <w:sz w:val="18"/>
              </w:rPr>
              <w:t> </w:t>
            </w:r>
            <w:r>
              <w:rPr>
                <w:sz w:val="18"/>
              </w:rPr>
              <w:t>into</w:t>
            </w:r>
            <w:r>
              <w:rPr>
                <w:spacing w:val="-10"/>
                <w:sz w:val="18"/>
              </w:rPr>
              <w:t> </w:t>
            </w:r>
            <w:r>
              <w:rPr>
                <w:sz w:val="18"/>
              </w:rPr>
              <w:t>age</w:t>
            </w:r>
            <w:r>
              <w:rPr>
                <w:spacing w:val="-10"/>
                <w:sz w:val="18"/>
              </w:rPr>
              <w:t> </w:t>
            </w:r>
            <w:r>
              <w:rPr>
                <w:sz w:val="18"/>
              </w:rPr>
              <w:t>categories:</w:t>
            </w:r>
            <w:r>
              <w:rPr>
                <w:spacing w:val="-3"/>
                <w:sz w:val="18"/>
              </w:rPr>
              <w:t> </w:t>
            </w:r>
            <w:r>
              <w:rPr>
                <w:sz w:val="18"/>
              </w:rPr>
              <w:t>60-69,</w:t>
            </w:r>
            <w:r>
              <w:rPr>
                <w:spacing w:val="-2"/>
                <w:sz w:val="18"/>
              </w:rPr>
              <w:t> </w:t>
            </w:r>
            <w:r>
              <w:rPr>
                <w:sz w:val="18"/>
              </w:rPr>
              <w:t>70-79,</w:t>
            </w:r>
            <w:r>
              <w:rPr>
                <w:spacing w:val="-7"/>
                <w:sz w:val="18"/>
              </w:rPr>
              <w:t> </w:t>
            </w:r>
            <w:r>
              <w:rPr>
                <w:sz w:val="18"/>
              </w:rPr>
              <w:t>80-89,</w:t>
            </w:r>
            <w:r>
              <w:rPr>
                <w:spacing w:val="-3"/>
                <w:sz w:val="18"/>
              </w:rPr>
              <w:t> </w:t>
            </w:r>
            <w:r>
              <w:rPr>
                <w:sz w:val="18"/>
              </w:rPr>
              <w:t>and</w:t>
            </w:r>
            <w:r>
              <w:rPr>
                <w:spacing w:val="-5"/>
                <w:sz w:val="18"/>
              </w:rPr>
              <w:t> </w:t>
            </w:r>
            <w:r>
              <w:rPr>
                <w:sz w:val="18"/>
              </w:rPr>
              <w:t>90-120.</w:t>
            </w:r>
            <w:r>
              <w:rPr>
                <w:spacing w:val="-7"/>
                <w:sz w:val="18"/>
              </w:rPr>
              <w:t> </w:t>
            </w:r>
            <w:r>
              <w:rPr>
                <w:b/>
                <w:sz w:val="18"/>
              </w:rPr>
              <w:t>Figure</w:t>
            </w:r>
            <w:r>
              <w:rPr>
                <w:b/>
                <w:spacing w:val="-9"/>
                <w:sz w:val="18"/>
              </w:rPr>
              <w:t> </w:t>
            </w:r>
            <w:r>
              <w:rPr>
                <w:b/>
                <w:sz w:val="18"/>
              </w:rPr>
              <w:t>3 </w:t>
            </w:r>
            <w:r>
              <w:rPr>
                <w:sz w:val="18"/>
              </w:rPr>
              <w:t>shows that the age distributions for 60-69 and 70-79 are similar for both genders, indicating that</w:t>
            </w:r>
            <w:r>
              <w:rPr>
                <w:spacing w:val="-4"/>
                <w:sz w:val="18"/>
              </w:rPr>
              <w:t> </w:t>
            </w:r>
            <w:r>
              <w:rPr>
                <w:sz w:val="18"/>
              </w:rPr>
              <w:t>customers</w:t>
            </w:r>
            <w:r>
              <w:rPr>
                <w:spacing w:val="-4"/>
                <w:sz w:val="18"/>
              </w:rPr>
              <w:t> </w:t>
            </w:r>
            <w:r>
              <w:rPr>
                <w:sz w:val="18"/>
              </w:rPr>
              <w:t>within</w:t>
            </w:r>
            <w:r>
              <w:rPr>
                <w:spacing w:val="-9"/>
                <w:sz w:val="18"/>
              </w:rPr>
              <w:t> </w:t>
            </w:r>
            <w:r>
              <w:rPr>
                <w:sz w:val="18"/>
              </w:rPr>
              <w:t>these</w:t>
            </w:r>
            <w:r>
              <w:rPr>
                <w:spacing w:val="-5"/>
                <w:sz w:val="18"/>
              </w:rPr>
              <w:t> </w:t>
            </w:r>
            <w:r>
              <w:rPr>
                <w:sz w:val="18"/>
              </w:rPr>
              <w:t>groups</w:t>
            </w:r>
            <w:r>
              <w:rPr>
                <w:spacing w:val="-1"/>
                <w:sz w:val="18"/>
              </w:rPr>
              <w:t> </w:t>
            </w:r>
            <w:r>
              <w:rPr>
                <w:sz w:val="18"/>
              </w:rPr>
              <w:t>exhibit</w:t>
            </w:r>
            <w:r>
              <w:rPr>
                <w:spacing w:val="-4"/>
                <w:sz w:val="18"/>
              </w:rPr>
              <w:t> </w:t>
            </w:r>
            <w:r>
              <w:rPr>
                <w:sz w:val="18"/>
              </w:rPr>
              <w:t>comparable</w:t>
            </w:r>
            <w:r>
              <w:rPr>
                <w:spacing w:val="-4"/>
                <w:sz w:val="18"/>
              </w:rPr>
              <w:t> </w:t>
            </w:r>
            <w:r>
              <w:rPr>
                <w:sz w:val="18"/>
              </w:rPr>
              <w:t>age</w:t>
            </w:r>
            <w:r>
              <w:rPr>
                <w:spacing w:val="-5"/>
                <w:sz w:val="18"/>
              </w:rPr>
              <w:t> </w:t>
            </w:r>
            <w:r>
              <w:rPr>
                <w:sz w:val="18"/>
              </w:rPr>
              <w:t>profiles.</w:t>
            </w:r>
            <w:r>
              <w:rPr>
                <w:spacing w:val="-4"/>
                <w:sz w:val="18"/>
              </w:rPr>
              <w:t> </w:t>
            </w:r>
            <w:r>
              <w:rPr>
                <w:sz w:val="18"/>
              </w:rPr>
              <w:t>However, the</w:t>
            </w:r>
            <w:r>
              <w:rPr>
                <w:spacing w:val="-4"/>
                <w:sz w:val="18"/>
              </w:rPr>
              <w:t> </w:t>
            </w:r>
            <w:r>
              <w:rPr>
                <w:sz w:val="18"/>
              </w:rPr>
              <w:t>80-89</w:t>
            </w:r>
            <w:r>
              <w:rPr>
                <w:spacing w:val="-5"/>
                <w:sz w:val="18"/>
              </w:rPr>
              <w:t> </w:t>
            </w:r>
            <w:r>
              <w:rPr>
                <w:sz w:val="18"/>
              </w:rPr>
              <w:t>group shows a declining trend, suggesting a shift in behaviour.</w:t>
            </w:r>
          </w:p>
          <w:p>
            <w:pPr>
              <w:pStyle w:val="TableParagraph"/>
              <w:spacing w:before="20" w:after="1"/>
              <w:rPr>
                <w:sz w:val="20"/>
              </w:rPr>
            </w:pPr>
          </w:p>
          <w:p>
            <w:pPr>
              <w:pStyle w:val="TableParagraph"/>
              <w:ind w:left="316"/>
              <w:rPr>
                <w:sz w:val="20"/>
              </w:rPr>
            </w:pPr>
            <w:r>
              <w:rPr>
                <w:sz w:val="20"/>
              </w:rPr>
              <w:drawing>
                <wp:inline distT="0" distB="0" distL="0" distR="0">
                  <wp:extent cx="4444479" cy="2279904"/>
                  <wp:effectExtent l="0" t="0" r="0" b="0"/>
                  <wp:docPr id="45" name="Image 45" descr="A graph of a customer age profile  AI-generated content may be incorrect."/>
                  <wp:cNvGraphicFramePr>
                    <a:graphicFrameLocks/>
                  </wp:cNvGraphicFramePr>
                  <a:graphic>
                    <a:graphicData uri="http://schemas.openxmlformats.org/drawingml/2006/picture">
                      <pic:pic>
                        <pic:nvPicPr>
                          <pic:cNvPr id="45" name="Image 45" descr="A graph of a customer age profile  AI-generated content may be incorrect."/>
                          <pic:cNvPicPr/>
                        </pic:nvPicPr>
                        <pic:blipFill>
                          <a:blip r:embed="rId37" cstate="print"/>
                          <a:stretch>
                            <a:fillRect/>
                          </a:stretch>
                        </pic:blipFill>
                        <pic:spPr>
                          <a:xfrm>
                            <a:off x="0" y="0"/>
                            <a:ext cx="4444479" cy="2279904"/>
                          </a:xfrm>
                          <a:prstGeom prst="rect">
                            <a:avLst/>
                          </a:prstGeom>
                        </pic:spPr>
                      </pic:pic>
                    </a:graphicData>
                  </a:graphic>
                </wp:inline>
              </w:drawing>
            </w:r>
            <w:r>
              <w:rPr>
                <w:sz w:val="20"/>
              </w:rPr>
            </w:r>
          </w:p>
          <w:p>
            <w:pPr>
              <w:pStyle w:val="TableParagraph"/>
              <w:spacing w:before="98"/>
              <w:rPr>
                <w:sz w:val="18"/>
              </w:rPr>
            </w:pPr>
          </w:p>
          <w:p>
            <w:pPr>
              <w:pStyle w:val="TableParagraph"/>
              <w:ind w:left="110" w:right="179"/>
              <w:rPr>
                <w:sz w:val="18"/>
              </w:rPr>
            </w:pPr>
            <w:r>
              <w:rPr>
                <w:sz w:val="18"/>
              </w:rPr>
              <w:t>Ages 90+ have a separate category as no existing customers are in</w:t>
            </w:r>
            <w:r>
              <w:rPr>
                <w:spacing w:val="-6"/>
                <w:sz w:val="18"/>
              </w:rPr>
              <w:t> </w:t>
            </w:r>
            <w:r>
              <w:rPr>
                <w:sz w:val="18"/>
              </w:rPr>
              <w:t>this range. Age groups ensure model differentiates age groups and better reflects cost structures and resource allocation for each cohort. Moderately material assumption to</w:t>
            </w:r>
            <w:r>
              <w:rPr>
                <w:spacing w:val="-2"/>
                <w:sz w:val="18"/>
              </w:rPr>
              <w:t> </w:t>
            </w:r>
            <w:r>
              <w:rPr>
                <w:sz w:val="18"/>
              </w:rPr>
              <w:t>financial projections as aged care</w:t>
            </w:r>
            <w:r>
              <w:rPr>
                <w:spacing w:val="-8"/>
                <w:sz w:val="18"/>
              </w:rPr>
              <w:t> </w:t>
            </w:r>
            <w:r>
              <w:rPr>
                <w:sz w:val="18"/>
              </w:rPr>
              <w:t>costs</w:t>
            </w:r>
            <w:r>
              <w:rPr>
                <w:spacing w:val="-8"/>
                <w:sz w:val="18"/>
              </w:rPr>
              <w:t> </w:t>
            </w:r>
            <w:r>
              <w:rPr>
                <w:sz w:val="18"/>
              </w:rPr>
              <w:t>increases with</w:t>
            </w:r>
            <w:r>
              <w:rPr>
                <w:spacing w:val="-7"/>
                <w:sz w:val="18"/>
              </w:rPr>
              <w:t> </w:t>
            </w:r>
            <w:r>
              <w:rPr>
                <w:sz w:val="18"/>
              </w:rPr>
              <w:t>age,</w:t>
            </w:r>
            <w:r>
              <w:rPr>
                <w:spacing w:val="-2"/>
                <w:sz w:val="18"/>
              </w:rPr>
              <w:t> </w:t>
            </w:r>
            <w:r>
              <w:rPr>
                <w:sz w:val="18"/>
              </w:rPr>
              <w:t>but</w:t>
            </w:r>
            <w:r>
              <w:rPr>
                <w:spacing w:val="-6"/>
                <w:sz w:val="18"/>
              </w:rPr>
              <w:t> </w:t>
            </w:r>
            <w:r>
              <w:rPr>
                <w:sz w:val="18"/>
              </w:rPr>
              <w:t>costs</w:t>
            </w:r>
            <w:r>
              <w:rPr>
                <w:spacing w:val="-3"/>
                <w:sz w:val="18"/>
              </w:rPr>
              <w:t> </w:t>
            </w:r>
            <w:r>
              <w:rPr>
                <w:sz w:val="18"/>
              </w:rPr>
              <w:t>are</w:t>
            </w:r>
            <w:r>
              <w:rPr>
                <w:spacing w:val="-9"/>
                <w:sz w:val="18"/>
              </w:rPr>
              <w:t> </w:t>
            </w:r>
            <w:r>
              <w:rPr>
                <w:sz w:val="18"/>
              </w:rPr>
              <w:t>driven by</w:t>
            </w:r>
            <w:r>
              <w:rPr>
                <w:spacing w:val="-8"/>
                <w:sz w:val="18"/>
              </w:rPr>
              <w:t> </w:t>
            </w:r>
            <w:r>
              <w:rPr>
                <w:sz w:val="18"/>
              </w:rPr>
              <w:t>ageing</w:t>
            </w:r>
            <w:r>
              <w:rPr>
                <w:spacing w:val="-18"/>
                <w:sz w:val="18"/>
              </w:rPr>
              <w:t> </w:t>
            </w:r>
            <w:r>
              <w:rPr>
                <w:sz w:val="18"/>
              </w:rPr>
              <w:t>trends</w:t>
            </w:r>
            <w:r>
              <w:rPr>
                <w:spacing w:val="-7"/>
                <w:sz w:val="18"/>
              </w:rPr>
              <w:t> </w:t>
            </w:r>
            <w:r>
              <w:rPr>
                <w:sz w:val="18"/>
              </w:rPr>
              <w:t>rather</w:t>
            </w:r>
            <w:r>
              <w:rPr>
                <w:spacing w:val="-2"/>
                <w:sz w:val="18"/>
              </w:rPr>
              <w:t> </w:t>
            </w:r>
            <w:r>
              <w:rPr>
                <w:sz w:val="18"/>
              </w:rPr>
              <w:t>than</w:t>
            </w:r>
            <w:r>
              <w:rPr>
                <w:spacing w:val="-8"/>
                <w:sz w:val="18"/>
              </w:rPr>
              <w:t> </w:t>
            </w:r>
            <w:r>
              <w:rPr>
                <w:sz w:val="18"/>
              </w:rPr>
              <w:t>specific age group structures.</w:t>
            </w:r>
          </w:p>
        </w:tc>
      </w:tr>
      <w:tr>
        <w:trPr>
          <w:trHeight w:val="2064" w:hRule="atLeast"/>
        </w:trPr>
        <w:tc>
          <w:tcPr>
            <w:tcW w:w="1258" w:type="dxa"/>
          </w:tcPr>
          <w:p>
            <w:pPr>
              <w:pStyle w:val="TableParagraph"/>
              <w:rPr>
                <w:sz w:val="18"/>
              </w:rPr>
            </w:pPr>
          </w:p>
          <w:p>
            <w:pPr>
              <w:pStyle w:val="TableParagraph"/>
              <w:spacing w:before="189"/>
              <w:rPr>
                <w:sz w:val="18"/>
              </w:rPr>
            </w:pPr>
          </w:p>
          <w:p>
            <w:pPr>
              <w:pStyle w:val="TableParagraph"/>
              <w:ind w:left="115" w:right="186"/>
              <w:rPr>
                <w:sz w:val="18"/>
              </w:rPr>
            </w:pPr>
            <w:r>
              <w:rPr>
                <w:sz w:val="18"/>
              </w:rPr>
              <w:t>Rate of </w:t>
            </w:r>
            <w:r>
              <w:rPr>
                <w:spacing w:val="-2"/>
                <w:sz w:val="18"/>
              </w:rPr>
              <w:t>increase</w:t>
            </w:r>
            <w:r>
              <w:rPr>
                <w:spacing w:val="-19"/>
                <w:sz w:val="18"/>
              </w:rPr>
              <w:t> </w:t>
            </w:r>
            <w:r>
              <w:rPr>
                <w:spacing w:val="-2"/>
                <w:sz w:val="18"/>
              </w:rPr>
              <w:t>in </w:t>
            </w:r>
            <w:r>
              <w:rPr>
                <w:sz w:val="18"/>
              </w:rPr>
              <w:t>use</w:t>
            </w:r>
            <w:r>
              <w:rPr>
                <w:spacing w:val="-13"/>
                <w:sz w:val="18"/>
              </w:rPr>
              <w:t> </w:t>
            </w:r>
            <w:r>
              <w:rPr>
                <w:sz w:val="18"/>
              </w:rPr>
              <w:t>of</w:t>
            </w:r>
            <w:r>
              <w:rPr>
                <w:spacing w:val="-5"/>
                <w:sz w:val="18"/>
              </w:rPr>
              <w:t> </w:t>
            </w:r>
            <w:r>
              <w:rPr>
                <w:sz w:val="18"/>
              </w:rPr>
              <w:t>age </w:t>
            </w:r>
            <w:r>
              <w:rPr>
                <w:spacing w:val="-4"/>
                <w:sz w:val="18"/>
              </w:rPr>
              <w:t>care</w:t>
            </w:r>
          </w:p>
        </w:tc>
        <w:tc>
          <w:tcPr>
            <w:tcW w:w="7765" w:type="dxa"/>
          </w:tcPr>
          <w:p>
            <w:pPr>
              <w:pStyle w:val="TableParagraph"/>
              <w:spacing w:line="242" w:lineRule="auto" w:before="191"/>
              <w:ind w:left="110" w:right="235"/>
              <w:rPr>
                <w:sz w:val="18"/>
              </w:rPr>
            </w:pPr>
            <w:r>
              <w:rPr>
                <w:sz w:val="18"/>
              </w:rPr>
              <w:t>The</w:t>
            </w:r>
            <w:r>
              <w:rPr>
                <w:spacing w:val="-8"/>
                <w:sz w:val="18"/>
              </w:rPr>
              <w:t> </w:t>
            </w:r>
            <w:r>
              <w:rPr>
                <w:sz w:val="18"/>
              </w:rPr>
              <w:t>rate</w:t>
            </w:r>
            <w:r>
              <w:rPr>
                <w:spacing w:val="-12"/>
                <w:sz w:val="18"/>
              </w:rPr>
              <w:t> </w:t>
            </w:r>
            <w:r>
              <w:rPr>
                <w:sz w:val="18"/>
              </w:rPr>
              <w:t>is</w:t>
            </w:r>
            <w:r>
              <w:rPr>
                <w:spacing w:val="-7"/>
                <w:sz w:val="18"/>
              </w:rPr>
              <w:t> </w:t>
            </w:r>
            <w:r>
              <w:rPr>
                <w:sz w:val="18"/>
              </w:rPr>
              <w:t>assumed</w:t>
            </w:r>
            <w:r>
              <w:rPr>
                <w:spacing w:val="-7"/>
                <w:sz w:val="18"/>
              </w:rPr>
              <w:t> </w:t>
            </w:r>
            <w:r>
              <w:rPr>
                <w:sz w:val="18"/>
              </w:rPr>
              <w:t>to</w:t>
            </w:r>
            <w:r>
              <w:rPr>
                <w:spacing w:val="-3"/>
                <w:sz w:val="18"/>
              </w:rPr>
              <w:t> </w:t>
            </w:r>
            <w:r>
              <w:rPr>
                <w:sz w:val="18"/>
              </w:rPr>
              <w:t>be</w:t>
            </w:r>
            <w:r>
              <w:rPr>
                <w:spacing w:val="-12"/>
                <w:sz w:val="18"/>
              </w:rPr>
              <w:t> </w:t>
            </w:r>
            <w:r>
              <w:rPr>
                <w:sz w:val="18"/>
              </w:rPr>
              <w:t>linked</w:t>
            </w:r>
            <w:r>
              <w:rPr>
                <w:spacing w:val="-3"/>
                <w:sz w:val="18"/>
              </w:rPr>
              <w:t> </w:t>
            </w:r>
            <w:r>
              <w:rPr>
                <w:sz w:val="18"/>
              </w:rPr>
              <w:t>to</w:t>
            </w:r>
            <w:r>
              <w:rPr>
                <w:spacing w:val="-2"/>
                <w:sz w:val="18"/>
              </w:rPr>
              <w:t> </w:t>
            </w:r>
            <w:r>
              <w:rPr>
                <w:sz w:val="18"/>
              </w:rPr>
              <w:t>a</w:t>
            </w:r>
            <w:r>
              <w:rPr>
                <w:spacing w:val="-3"/>
                <w:sz w:val="18"/>
              </w:rPr>
              <w:t> </w:t>
            </w:r>
            <w:r>
              <w:rPr>
                <w:sz w:val="18"/>
              </w:rPr>
              <w:t>unit</w:t>
            </w:r>
            <w:r>
              <w:rPr>
                <w:spacing w:val="-5"/>
                <w:sz w:val="18"/>
              </w:rPr>
              <w:t> </w:t>
            </w:r>
            <w:r>
              <w:rPr>
                <w:sz w:val="18"/>
              </w:rPr>
              <w:t>increase</w:t>
            </w:r>
            <w:r>
              <w:rPr>
                <w:spacing w:val="-7"/>
                <w:sz w:val="18"/>
              </w:rPr>
              <w:t> </w:t>
            </w:r>
            <w:r>
              <w:rPr>
                <w:sz w:val="18"/>
              </w:rPr>
              <w:t>in</w:t>
            </w:r>
            <w:r>
              <w:rPr>
                <w:spacing w:val="-3"/>
                <w:sz w:val="18"/>
              </w:rPr>
              <w:t> </w:t>
            </w:r>
            <w:r>
              <w:rPr>
                <w:sz w:val="18"/>
              </w:rPr>
              <w:t>the</w:t>
            </w:r>
            <w:r>
              <w:rPr>
                <w:spacing w:val="-8"/>
                <w:sz w:val="18"/>
              </w:rPr>
              <w:t> </w:t>
            </w:r>
            <w:r>
              <w:rPr>
                <w:sz w:val="18"/>
              </w:rPr>
              <w:t>average</w:t>
            </w:r>
            <w:r>
              <w:rPr>
                <w:spacing w:val="-7"/>
                <w:sz w:val="18"/>
              </w:rPr>
              <w:t> </w:t>
            </w:r>
            <w:r>
              <w:rPr>
                <w:sz w:val="18"/>
              </w:rPr>
              <w:t>population</w:t>
            </w:r>
            <w:r>
              <w:rPr>
                <w:spacing w:val="-2"/>
                <w:sz w:val="18"/>
              </w:rPr>
              <w:t> </w:t>
            </w:r>
            <w:r>
              <w:rPr>
                <w:sz w:val="18"/>
              </w:rPr>
              <w:t>age.</w:t>
            </w:r>
            <w:r>
              <w:rPr>
                <w:spacing w:val="-1"/>
                <w:sz w:val="18"/>
              </w:rPr>
              <w:t> </w:t>
            </w:r>
            <w:r>
              <w:rPr>
                <w:sz w:val="18"/>
              </w:rPr>
              <w:t>From</w:t>
            </w:r>
            <w:r>
              <w:rPr>
                <w:spacing w:val="-1"/>
                <w:sz w:val="18"/>
              </w:rPr>
              <w:t> </w:t>
            </w:r>
            <w:r>
              <w:rPr>
                <w:sz w:val="18"/>
              </w:rPr>
              <w:t>2017 to 2024, AAG’s rate averaged 4.08% with a low standard deviation of 0.33%, suggesting stability and making it a reliable estimate for long-term projections.</w:t>
            </w:r>
          </w:p>
          <w:p>
            <w:pPr>
              <w:pStyle w:val="TableParagraph"/>
              <w:spacing w:line="242" w:lineRule="auto" w:before="203"/>
              <w:ind w:left="110" w:right="136"/>
              <w:rPr>
                <w:sz w:val="18"/>
              </w:rPr>
            </w:pPr>
            <w:r>
              <w:rPr>
                <w:sz w:val="18"/>
              </w:rPr>
              <w:t>Rate is considered conservative as it exceeds general inflation and closely aligns with aged care cost inflation, ensuring a realistic yet cautious approach to forecasting. Material assumption</w:t>
            </w:r>
            <w:r>
              <w:rPr>
                <w:spacing w:val="-9"/>
                <w:sz w:val="18"/>
              </w:rPr>
              <w:t> </w:t>
            </w:r>
            <w:r>
              <w:rPr>
                <w:sz w:val="18"/>
              </w:rPr>
              <w:t>as</w:t>
            </w:r>
            <w:r>
              <w:rPr>
                <w:spacing w:val="-9"/>
                <w:sz w:val="18"/>
              </w:rPr>
              <w:t> </w:t>
            </w:r>
            <w:r>
              <w:rPr>
                <w:sz w:val="18"/>
              </w:rPr>
              <w:t>it</w:t>
            </w:r>
            <w:r>
              <w:rPr>
                <w:spacing w:val="-2"/>
                <w:sz w:val="18"/>
              </w:rPr>
              <w:t> </w:t>
            </w:r>
            <w:r>
              <w:rPr>
                <w:sz w:val="18"/>
              </w:rPr>
              <w:t>compounds</w:t>
            </w:r>
            <w:r>
              <w:rPr>
                <w:spacing w:val="-4"/>
                <w:sz w:val="18"/>
              </w:rPr>
              <w:t> </w:t>
            </w:r>
            <w:r>
              <w:rPr>
                <w:sz w:val="18"/>
              </w:rPr>
              <w:t>age</w:t>
            </w:r>
            <w:r>
              <w:rPr>
                <w:spacing w:val="-10"/>
                <w:sz w:val="18"/>
              </w:rPr>
              <w:t> </w:t>
            </w:r>
            <w:r>
              <w:rPr>
                <w:sz w:val="18"/>
              </w:rPr>
              <w:t>inflation</w:t>
            </w:r>
            <w:r>
              <w:rPr>
                <w:spacing w:val="-9"/>
                <w:sz w:val="18"/>
              </w:rPr>
              <w:t> </w:t>
            </w:r>
            <w:r>
              <w:rPr>
                <w:sz w:val="18"/>
              </w:rPr>
              <w:t>rates</w:t>
            </w:r>
            <w:r>
              <w:rPr>
                <w:spacing w:val="-4"/>
                <w:sz w:val="18"/>
              </w:rPr>
              <w:t> </w:t>
            </w:r>
            <w:r>
              <w:rPr>
                <w:sz w:val="18"/>
              </w:rPr>
              <w:t>- any</w:t>
            </w:r>
            <w:r>
              <w:rPr>
                <w:spacing w:val="-9"/>
                <w:sz w:val="18"/>
              </w:rPr>
              <w:t> </w:t>
            </w:r>
            <w:r>
              <w:rPr>
                <w:sz w:val="18"/>
              </w:rPr>
              <w:t>minor</w:t>
            </w:r>
            <w:r>
              <w:rPr>
                <w:spacing w:val="-3"/>
                <w:sz w:val="18"/>
              </w:rPr>
              <w:t> </w:t>
            </w:r>
            <w:r>
              <w:rPr>
                <w:sz w:val="18"/>
              </w:rPr>
              <w:t>changes would</w:t>
            </w:r>
            <w:r>
              <w:rPr>
                <w:spacing w:val="-5"/>
                <w:sz w:val="18"/>
              </w:rPr>
              <w:t> </w:t>
            </w:r>
            <w:r>
              <w:rPr>
                <w:sz w:val="18"/>
              </w:rPr>
              <w:t>have</w:t>
            </w:r>
            <w:r>
              <w:rPr>
                <w:spacing w:val="-9"/>
                <w:sz w:val="18"/>
              </w:rPr>
              <w:t> </w:t>
            </w:r>
            <w:r>
              <w:rPr>
                <w:sz w:val="18"/>
              </w:rPr>
              <w:t>compounding effects on costs.</w:t>
            </w:r>
          </w:p>
        </w:tc>
      </w:tr>
      <w:tr>
        <w:trPr>
          <w:trHeight w:val="2121" w:hRule="atLeast"/>
        </w:trPr>
        <w:tc>
          <w:tcPr>
            <w:tcW w:w="1258" w:type="dxa"/>
          </w:tcPr>
          <w:p>
            <w:pPr>
              <w:pStyle w:val="TableParagraph"/>
              <w:rPr>
                <w:sz w:val="18"/>
              </w:rPr>
            </w:pPr>
          </w:p>
          <w:p>
            <w:pPr>
              <w:pStyle w:val="TableParagraph"/>
              <w:rPr>
                <w:sz w:val="18"/>
              </w:rPr>
            </w:pPr>
          </w:p>
          <w:p>
            <w:pPr>
              <w:pStyle w:val="TableParagraph"/>
              <w:rPr>
                <w:sz w:val="18"/>
              </w:rPr>
            </w:pPr>
          </w:p>
          <w:p>
            <w:pPr>
              <w:pStyle w:val="TableParagraph"/>
              <w:spacing w:before="11"/>
              <w:rPr>
                <w:sz w:val="18"/>
              </w:rPr>
            </w:pPr>
          </w:p>
          <w:p>
            <w:pPr>
              <w:pStyle w:val="TableParagraph"/>
              <w:spacing w:line="244" w:lineRule="auto"/>
              <w:ind w:left="115"/>
              <w:rPr>
                <w:sz w:val="18"/>
              </w:rPr>
            </w:pPr>
            <w:r>
              <w:rPr>
                <w:spacing w:val="-2"/>
                <w:sz w:val="18"/>
              </w:rPr>
              <w:t>Cost</w:t>
            </w:r>
            <w:r>
              <w:rPr>
                <w:spacing w:val="-14"/>
                <w:sz w:val="18"/>
              </w:rPr>
              <w:t> </w:t>
            </w:r>
            <w:r>
              <w:rPr>
                <w:spacing w:val="-2"/>
                <w:sz w:val="18"/>
              </w:rPr>
              <w:t>per</w:t>
            </w:r>
            <w:r>
              <w:rPr>
                <w:spacing w:val="-11"/>
                <w:sz w:val="18"/>
              </w:rPr>
              <w:t> </w:t>
            </w:r>
            <w:r>
              <w:rPr>
                <w:spacing w:val="-2"/>
                <w:sz w:val="18"/>
              </w:rPr>
              <w:t>age groups</w:t>
            </w:r>
          </w:p>
        </w:tc>
        <w:tc>
          <w:tcPr>
            <w:tcW w:w="7765" w:type="dxa"/>
          </w:tcPr>
          <w:p>
            <w:pPr>
              <w:pStyle w:val="TableParagraph"/>
              <w:spacing w:before="195"/>
              <w:ind w:left="110"/>
              <w:rPr>
                <w:sz w:val="18"/>
              </w:rPr>
            </w:pPr>
            <w:r>
              <w:rPr>
                <w:sz w:val="18"/>
              </w:rPr>
              <w:t>The</w:t>
            </w:r>
            <w:r>
              <w:rPr>
                <w:spacing w:val="-13"/>
                <w:sz w:val="18"/>
              </w:rPr>
              <w:t> </w:t>
            </w:r>
            <w:r>
              <w:rPr>
                <w:sz w:val="18"/>
              </w:rPr>
              <w:t>weighted</w:t>
            </w:r>
            <w:r>
              <w:rPr>
                <w:spacing w:val="-12"/>
                <w:sz w:val="18"/>
              </w:rPr>
              <w:t> </w:t>
            </w:r>
            <w:r>
              <w:rPr>
                <w:sz w:val="18"/>
              </w:rPr>
              <w:t>average</w:t>
            </w:r>
            <w:r>
              <w:rPr>
                <w:spacing w:val="-11"/>
                <w:sz w:val="18"/>
              </w:rPr>
              <w:t> </w:t>
            </w:r>
            <w:r>
              <w:rPr>
                <w:sz w:val="18"/>
              </w:rPr>
              <w:t>expense</w:t>
            </w:r>
            <w:r>
              <w:rPr>
                <w:spacing w:val="-13"/>
                <w:sz w:val="18"/>
              </w:rPr>
              <w:t> </w:t>
            </w:r>
            <w:r>
              <w:rPr>
                <w:sz w:val="18"/>
              </w:rPr>
              <w:t>per customer</w:t>
            </w:r>
            <w:r>
              <w:rPr>
                <w:spacing w:val="-12"/>
                <w:sz w:val="18"/>
              </w:rPr>
              <w:t> </w:t>
            </w:r>
            <w:r>
              <w:rPr>
                <w:sz w:val="18"/>
              </w:rPr>
              <w:t>($7,750)</w:t>
            </w:r>
            <w:r>
              <w:rPr>
                <w:spacing w:val="-8"/>
                <w:sz w:val="18"/>
              </w:rPr>
              <w:t> </w:t>
            </w:r>
            <w:r>
              <w:rPr>
                <w:sz w:val="18"/>
              </w:rPr>
              <w:t>varies</w:t>
            </w:r>
            <w:r>
              <w:rPr>
                <w:spacing w:val="-13"/>
                <w:sz w:val="18"/>
              </w:rPr>
              <w:t> </w:t>
            </w:r>
            <w:r>
              <w:rPr>
                <w:sz w:val="18"/>
              </w:rPr>
              <w:t>by </w:t>
            </w:r>
            <w:r>
              <w:rPr>
                <w:spacing w:val="-4"/>
                <w:sz w:val="18"/>
              </w:rPr>
              <w:t>age:</w:t>
            </w:r>
          </w:p>
          <w:p>
            <w:pPr>
              <w:pStyle w:val="TableParagraph"/>
              <w:numPr>
                <w:ilvl w:val="0"/>
                <w:numId w:val="4"/>
              </w:numPr>
              <w:tabs>
                <w:tab w:pos="830" w:val="left" w:leader="none"/>
              </w:tabs>
              <w:spacing w:line="218" w:lineRule="exact" w:before="2" w:after="0"/>
              <w:ind w:left="830" w:right="0" w:hanging="360"/>
              <w:jc w:val="left"/>
              <w:rPr>
                <w:sz w:val="18"/>
              </w:rPr>
            </w:pPr>
            <w:r>
              <w:rPr>
                <w:sz w:val="18"/>
              </w:rPr>
              <w:t>60-69:</w:t>
            </w:r>
            <w:r>
              <w:rPr>
                <w:spacing w:val="-3"/>
                <w:sz w:val="18"/>
              </w:rPr>
              <w:t> </w:t>
            </w:r>
            <w:r>
              <w:rPr>
                <w:spacing w:val="-2"/>
                <w:sz w:val="18"/>
              </w:rPr>
              <w:t>$6,500</w:t>
            </w:r>
          </w:p>
          <w:p>
            <w:pPr>
              <w:pStyle w:val="TableParagraph"/>
              <w:numPr>
                <w:ilvl w:val="0"/>
                <w:numId w:val="4"/>
              </w:numPr>
              <w:tabs>
                <w:tab w:pos="830" w:val="left" w:leader="none"/>
              </w:tabs>
              <w:spacing w:line="218" w:lineRule="exact" w:before="0" w:after="0"/>
              <w:ind w:left="830" w:right="0" w:hanging="360"/>
              <w:jc w:val="left"/>
              <w:rPr>
                <w:sz w:val="18"/>
              </w:rPr>
            </w:pPr>
            <w:r>
              <w:rPr>
                <w:sz w:val="18"/>
              </w:rPr>
              <w:t>70-79:</w:t>
            </w:r>
            <w:r>
              <w:rPr>
                <w:spacing w:val="-3"/>
                <w:sz w:val="18"/>
              </w:rPr>
              <w:t> </w:t>
            </w:r>
            <w:r>
              <w:rPr>
                <w:spacing w:val="-2"/>
                <w:sz w:val="18"/>
              </w:rPr>
              <w:t>$8,300</w:t>
            </w:r>
          </w:p>
          <w:p>
            <w:pPr>
              <w:pStyle w:val="TableParagraph"/>
              <w:numPr>
                <w:ilvl w:val="0"/>
                <w:numId w:val="4"/>
              </w:numPr>
              <w:tabs>
                <w:tab w:pos="830" w:val="left" w:leader="none"/>
              </w:tabs>
              <w:spacing w:line="240" w:lineRule="auto" w:before="0" w:after="0"/>
              <w:ind w:left="830" w:right="0" w:hanging="360"/>
              <w:jc w:val="left"/>
              <w:rPr>
                <w:sz w:val="18"/>
              </w:rPr>
            </w:pPr>
            <w:r>
              <w:rPr>
                <w:sz w:val="18"/>
              </w:rPr>
              <w:t>80-89:</w:t>
            </w:r>
            <w:r>
              <w:rPr>
                <w:spacing w:val="-3"/>
                <w:sz w:val="18"/>
              </w:rPr>
              <w:t> </w:t>
            </w:r>
            <w:r>
              <w:rPr>
                <w:spacing w:val="-2"/>
                <w:sz w:val="18"/>
              </w:rPr>
              <w:t>$8,840</w:t>
            </w:r>
          </w:p>
          <w:p>
            <w:pPr>
              <w:pStyle w:val="TableParagraph"/>
              <w:numPr>
                <w:ilvl w:val="0"/>
                <w:numId w:val="4"/>
              </w:numPr>
              <w:tabs>
                <w:tab w:pos="830" w:val="left" w:leader="none"/>
              </w:tabs>
              <w:spacing w:line="220" w:lineRule="exact" w:before="1" w:after="0"/>
              <w:ind w:left="830" w:right="0" w:hanging="360"/>
              <w:jc w:val="left"/>
              <w:rPr>
                <w:sz w:val="18"/>
              </w:rPr>
            </w:pPr>
            <w:r>
              <w:rPr>
                <w:sz w:val="18"/>
              </w:rPr>
              <w:t>90+:</w:t>
            </w:r>
            <w:r>
              <w:rPr>
                <w:spacing w:val="-1"/>
                <w:sz w:val="18"/>
              </w:rPr>
              <w:t> </w:t>
            </w:r>
            <w:r>
              <w:rPr>
                <w:spacing w:val="-2"/>
                <w:sz w:val="18"/>
              </w:rPr>
              <w:t>$10,000</w:t>
            </w:r>
          </w:p>
          <w:p>
            <w:pPr>
              <w:pStyle w:val="TableParagraph"/>
              <w:spacing w:line="242" w:lineRule="auto"/>
              <w:ind w:left="110" w:right="136"/>
              <w:rPr>
                <w:sz w:val="18"/>
              </w:rPr>
            </w:pPr>
            <w:r>
              <w:rPr>
                <w:sz w:val="18"/>
              </w:rPr>
              <w:t>Costs</w:t>
            </w:r>
            <w:r>
              <w:rPr>
                <w:spacing w:val="-10"/>
                <w:sz w:val="18"/>
              </w:rPr>
              <w:t> </w:t>
            </w:r>
            <w:r>
              <w:rPr>
                <w:sz w:val="18"/>
              </w:rPr>
              <w:t>were</w:t>
            </w:r>
            <w:r>
              <w:rPr>
                <w:spacing w:val="-11"/>
                <w:sz w:val="18"/>
              </w:rPr>
              <w:t> </w:t>
            </w:r>
            <w:r>
              <w:rPr>
                <w:sz w:val="18"/>
              </w:rPr>
              <w:t>derived</w:t>
            </w:r>
            <w:r>
              <w:rPr>
                <w:spacing w:val="-5"/>
                <w:sz w:val="18"/>
              </w:rPr>
              <w:t> </w:t>
            </w:r>
            <w:r>
              <w:rPr>
                <w:sz w:val="18"/>
              </w:rPr>
              <w:t>using</w:t>
            </w:r>
            <w:r>
              <w:rPr>
                <w:spacing w:val="-11"/>
                <w:sz w:val="18"/>
              </w:rPr>
              <w:t> </w:t>
            </w:r>
            <w:r>
              <w:rPr>
                <w:sz w:val="18"/>
              </w:rPr>
              <w:t>Excel SOLVER</w:t>
            </w:r>
            <w:r>
              <w:rPr>
                <w:spacing w:val="-11"/>
                <w:sz w:val="18"/>
              </w:rPr>
              <w:t> </w:t>
            </w:r>
            <w:r>
              <w:rPr>
                <w:sz w:val="18"/>
              </w:rPr>
              <w:t>based</w:t>
            </w:r>
            <w:r>
              <w:rPr>
                <w:spacing w:val="-6"/>
                <w:sz w:val="18"/>
              </w:rPr>
              <w:t> </w:t>
            </w:r>
            <w:r>
              <w:rPr>
                <w:sz w:val="18"/>
              </w:rPr>
              <w:t>on</w:t>
            </w:r>
            <w:r>
              <w:rPr>
                <w:spacing w:val="-11"/>
                <w:sz w:val="18"/>
              </w:rPr>
              <w:t> </w:t>
            </w:r>
            <w:r>
              <w:rPr>
                <w:sz w:val="18"/>
              </w:rPr>
              <w:t>population</w:t>
            </w:r>
            <w:r>
              <w:rPr>
                <w:spacing w:val="-1"/>
                <w:sz w:val="18"/>
              </w:rPr>
              <w:t> </w:t>
            </w:r>
            <w:r>
              <w:rPr>
                <w:sz w:val="18"/>
              </w:rPr>
              <w:t>weights.</w:t>
            </w:r>
            <w:r>
              <w:rPr>
                <w:spacing w:val="-13"/>
                <w:sz w:val="18"/>
              </w:rPr>
              <w:t> </w:t>
            </w:r>
            <w:r>
              <w:rPr>
                <w:sz w:val="18"/>
              </w:rPr>
              <w:t>Age</w:t>
            </w:r>
            <w:r>
              <w:rPr>
                <w:spacing w:val="-11"/>
                <w:sz w:val="18"/>
              </w:rPr>
              <w:t> </w:t>
            </w:r>
            <w:r>
              <w:rPr>
                <w:sz w:val="18"/>
              </w:rPr>
              <w:t>90+</w:t>
            </w:r>
            <w:r>
              <w:rPr>
                <w:spacing w:val="-11"/>
                <w:sz w:val="18"/>
              </w:rPr>
              <w:t> </w:t>
            </w:r>
            <w:r>
              <w:rPr>
                <w:sz w:val="18"/>
              </w:rPr>
              <w:t>was</w:t>
            </w:r>
            <w:r>
              <w:rPr>
                <w:spacing w:val="-10"/>
                <w:sz w:val="18"/>
              </w:rPr>
              <w:t> </w:t>
            </w:r>
            <w:r>
              <w:rPr>
                <w:sz w:val="18"/>
              </w:rPr>
              <w:t>assigned a cost to reflect higher care intensity for that cohort. Highly material assumption, as incorrect estimates lead to funding shortfalls or excess reserves.</w:t>
            </w:r>
          </w:p>
        </w:tc>
      </w:tr>
      <w:tr>
        <w:trPr>
          <w:trHeight w:val="1243" w:hRule="atLeast"/>
        </w:trPr>
        <w:tc>
          <w:tcPr>
            <w:tcW w:w="1258" w:type="dxa"/>
          </w:tcPr>
          <w:p>
            <w:pPr>
              <w:pStyle w:val="TableParagraph"/>
              <w:spacing w:before="90"/>
              <w:ind w:left="115" w:right="155"/>
              <w:rPr>
                <w:sz w:val="18"/>
              </w:rPr>
            </w:pPr>
            <w:r>
              <w:rPr>
                <w:spacing w:val="-4"/>
                <w:sz w:val="18"/>
              </w:rPr>
              <w:t>Cost </w:t>
            </w:r>
            <w:r>
              <w:rPr>
                <w:spacing w:val="-2"/>
                <w:sz w:val="18"/>
              </w:rPr>
              <w:t>increase </w:t>
            </w:r>
            <w:r>
              <w:rPr>
                <w:sz w:val="18"/>
              </w:rPr>
              <w:t>driven by inflation</w:t>
            </w:r>
            <w:r>
              <w:rPr>
                <w:spacing w:val="-13"/>
                <w:sz w:val="18"/>
              </w:rPr>
              <w:t> </w:t>
            </w:r>
            <w:r>
              <w:rPr>
                <w:sz w:val="18"/>
              </w:rPr>
              <w:t>and </w:t>
            </w:r>
            <w:r>
              <w:rPr>
                <w:spacing w:val="-2"/>
                <w:sz w:val="18"/>
              </w:rPr>
              <w:t>ageing</w:t>
            </w:r>
          </w:p>
        </w:tc>
        <w:tc>
          <w:tcPr>
            <w:tcW w:w="7765" w:type="dxa"/>
          </w:tcPr>
          <w:p>
            <w:pPr>
              <w:pStyle w:val="TableParagraph"/>
              <w:spacing w:line="242" w:lineRule="auto" w:before="195"/>
              <w:ind w:left="110" w:right="179"/>
              <w:rPr>
                <w:sz w:val="18"/>
              </w:rPr>
            </w:pPr>
            <w:r>
              <w:rPr>
                <w:sz w:val="18"/>
              </w:rPr>
              <w:t>Costs</w:t>
            </w:r>
            <w:r>
              <w:rPr>
                <w:spacing w:val="-8"/>
                <w:sz w:val="18"/>
              </w:rPr>
              <w:t> </w:t>
            </w:r>
            <w:r>
              <w:rPr>
                <w:sz w:val="18"/>
              </w:rPr>
              <w:t>are</w:t>
            </w:r>
            <w:r>
              <w:rPr>
                <w:spacing w:val="-9"/>
                <w:sz w:val="18"/>
              </w:rPr>
              <w:t> </w:t>
            </w:r>
            <w:r>
              <w:rPr>
                <w:sz w:val="18"/>
              </w:rPr>
              <w:t>driven by</w:t>
            </w:r>
            <w:r>
              <w:rPr>
                <w:spacing w:val="-7"/>
                <w:sz w:val="18"/>
              </w:rPr>
              <w:t> </w:t>
            </w:r>
            <w:r>
              <w:rPr>
                <w:sz w:val="18"/>
              </w:rPr>
              <w:t>aged care</w:t>
            </w:r>
            <w:r>
              <w:rPr>
                <w:spacing w:val="-9"/>
                <w:sz w:val="18"/>
              </w:rPr>
              <w:t> </w:t>
            </w:r>
            <w:r>
              <w:rPr>
                <w:sz w:val="18"/>
              </w:rPr>
              <w:t>inflation,</w:t>
            </w:r>
            <w:r>
              <w:rPr>
                <w:spacing w:val="-5"/>
                <w:sz w:val="18"/>
              </w:rPr>
              <w:t> </w:t>
            </w:r>
            <w:r>
              <w:rPr>
                <w:sz w:val="18"/>
              </w:rPr>
              <w:t>including</w:t>
            </w:r>
            <w:r>
              <w:rPr>
                <w:spacing w:val="-3"/>
                <w:sz w:val="18"/>
              </w:rPr>
              <w:t> </w:t>
            </w:r>
            <w:r>
              <w:rPr>
                <w:sz w:val="18"/>
              </w:rPr>
              <w:t>wage</w:t>
            </w:r>
            <w:r>
              <w:rPr>
                <w:spacing w:val="-9"/>
                <w:sz w:val="18"/>
              </w:rPr>
              <w:t> </w:t>
            </w:r>
            <w:r>
              <w:rPr>
                <w:sz w:val="18"/>
              </w:rPr>
              <w:t>growth, demand,</w:t>
            </w:r>
            <w:r>
              <w:rPr>
                <w:spacing w:val="-1"/>
                <w:sz w:val="18"/>
              </w:rPr>
              <w:t> </w:t>
            </w:r>
            <w:r>
              <w:rPr>
                <w:sz w:val="18"/>
              </w:rPr>
              <w:t>and</w:t>
            </w:r>
            <w:r>
              <w:rPr>
                <w:spacing w:val="-4"/>
                <w:sz w:val="18"/>
              </w:rPr>
              <w:t> </w:t>
            </w:r>
            <w:r>
              <w:rPr>
                <w:sz w:val="18"/>
              </w:rPr>
              <w:t>higher</w:t>
            </w:r>
            <w:r>
              <w:rPr>
                <w:spacing w:val="-2"/>
                <w:sz w:val="18"/>
              </w:rPr>
              <w:t> </w:t>
            </w:r>
            <w:r>
              <w:rPr>
                <w:sz w:val="18"/>
              </w:rPr>
              <w:t>costs</w:t>
            </w:r>
            <w:r>
              <w:rPr>
                <w:spacing w:val="-8"/>
                <w:sz w:val="18"/>
              </w:rPr>
              <w:t> </w:t>
            </w:r>
            <w:r>
              <w:rPr>
                <w:sz w:val="18"/>
              </w:rPr>
              <w:t>for specialized</w:t>
            </w:r>
            <w:r>
              <w:rPr>
                <w:spacing w:val="-3"/>
                <w:sz w:val="18"/>
              </w:rPr>
              <w:t> </w:t>
            </w:r>
            <w:r>
              <w:rPr>
                <w:sz w:val="18"/>
              </w:rPr>
              <w:t>care</w:t>
            </w:r>
            <w:r>
              <w:rPr>
                <w:spacing w:val="-9"/>
                <w:sz w:val="18"/>
              </w:rPr>
              <w:t> </w:t>
            </w:r>
            <w:r>
              <w:rPr>
                <w:sz w:val="18"/>
              </w:rPr>
              <w:t>(AGDHC,</w:t>
            </w:r>
            <w:r>
              <w:rPr>
                <w:spacing w:val="-2"/>
                <w:sz w:val="18"/>
              </w:rPr>
              <w:t> </w:t>
            </w:r>
            <w:r>
              <w:rPr>
                <w:sz w:val="18"/>
              </w:rPr>
              <w:t>2024). From</w:t>
            </w:r>
            <w:r>
              <w:rPr>
                <w:spacing w:val="-2"/>
                <w:sz w:val="18"/>
              </w:rPr>
              <w:t> </w:t>
            </w:r>
            <w:r>
              <w:rPr>
                <w:sz w:val="18"/>
              </w:rPr>
              <w:t>2017</w:t>
            </w:r>
            <w:r>
              <w:rPr>
                <w:spacing w:val="-13"/>
                <w:sz w:val="18"/>
              </w:rPr>
              <w:t> </w:t>
            </w:r>
            <w:r>
              <w:rPr>
                <w:sz w:val="18"/>
              </w:rPr>
              <w:t>to</w:t>
            </w:r>
            <w:r>
              <w:rPr>
                <w:spacing w:val="-9"/>
                <w:sz w:val="18"/>
              </w:rPr>
              <w:t> </w:t>
            </w:r>
            <w:r>
              <w:rPr>
                <w:sz w:val="18"/>
              </w:rPr>
              <w:t>2024,</w:t>
            </w:r>
            <w:r>
              <w:rPr>
                <w:spacing w:val="-12"/>
                <w:sz w:val="18"/>
              </w:rPr>
              <w:t> </w:t>
            </w:r>
            <w:r>
              <w:rPr>
                <w:sz w:val="18"/>
              </w:rPr>
              <w:t>AAG’s</w:t>
            </w:r>
            <w:r>
              <w:rPr>
                <w:spacing w:val="-9"/>
                <w:sz w:val="18"/>
              </w:rPr>
              <w:t> </w:t>
            </w:r>
            <w:r>
              <w:rPr>
                <w:sz w:val="18"/>
              </w:rPr>
              <w:t>rate</w:t>
            </w:r>
            <w:r>
              <w:rPr>
                <w:spacing w:val="-9"/>
                <w:sz w:val="18"/>
              </w:rPr>
              <w:t> </w:t>
            </w:r>
            <w:r>
              <w:rPr>
                <w:sz w:val="18"/>
              </w:rPr>
              <w:t>averaged 4.16% with</w:t>
            </w:r>
            <w:r>
              <w:rPr>
                <w:spacing w:val="-4"/>
                <w:sz w:val="18"/>
              </w:rPr>
              <w:t> </w:t>
            </w:r>
            <w:r>
              <w:rPr>
                <w:sz w:val="18"/>
              </w:rPr>
              <w:t>a</w:t>
            </w:r>
            <w:r>
              <w:rPr>
                <w:spacing w:val="-13"/>
                <w:sz w:val="18"/>
              </w:rPr>
              <w:t> </w:t>
            </w:r>
            <w:r>
              <w:rPr>
                <w:sz w:val="18"/>
              </w:rPr>
              <w:t>low standard deviation of 0.30%, suggesting stability and making it a reliable estimate for long- term projections. Materiality is consistent with cost per age group assumption.</w:t>
            </w:r>
          </w:p>
        </w:tc>
      </w:tr>
      <w:tr>
        <w:trPr>
          <w:trHeight w:val="830" w:hRule="atLeast"/>
        </w:trPr>
        <w:tc>
          <w:tcPr>
            <w:tcW w:w="1258" w:type="dxa"/>
          </w:tcPr>
          <w:p>
            <w:pPr>
              <w:pStyle w:val="TableParagraph"/>
              <w:spacing w:before="89"/>
              <w:rPr>
                <w:sz w:val="18"/>
              </w:rPr>
            </w:pPr>
          </w:p>
          <w:p>
            <w:pPr>
              <w:pStyle w:val="TableParagraph"/>
              <w:ind w:left="115"/>
              <w:rPr>
                <w:sz w:val="18"/>
              </w:rPr>
            </w:pPr>
            <w:r>
              <w:rPr>
                <w:sz w:val="18"/>
              </w:rPr>
              <w:t>Entry</w:t>
            </w:r>
            <w:r>
              <w:rPr>
                <w:spacing w:val="-3"/>
                <w:sz w:val="18"/>
              </w:rPr>
              <w:t> </w:t>
            </w:r>
            <w:r>
              <w:rPr>
                <w:spacing w:val="-4"/>
                <w:sz w:val="18"/>
              </w:rPr>
              <w:t>fees</w:t>
            </w:r>
          </w:p>
        </w:tc>
        <w:tc>
          <w:tcPr>
            <w:tcW w:w="7765" w:type="dxa"/>
          </w:tcPr>
          <w:p>
            <w:pPr>
              <w:pStyle w:val="TableParagraph"/>
              <w:spacing w:before="195"/>
              <w:ind w:left="110" w:right="179"/>
              <w:rPr>
                <w:sz w:val="18"/>
              </w:rPr>
            </w:pPr>
            <w:r>
              <w:rPr>
                <w:sz w:val="18"/>
              </w:rPr>
              <w:t>$100,000 entry</w:t>
            </w:r>
            <w:r>
              <w:rPr>
                <w:spacing w:val="-7"/>
                <w:sz w:val="18"/>
              </w:rPr>
              <w:t> </w:t>
            </w:r>
            <w:r>
              <w:rPr>
                <w:sz w:val="18"/>
              </w:rPr>
              <w:t>fee</w:t>
            </w:r>
            <w:r>
              <w:rPr>
                <w:spacing w:val="-8"/>
                <w:sz w:val="18"/>
              </w:rPr>
              <w:t> </w:t>
            </w:r>
            <w:r>
              <w:rPr>
                <w:sz w:val="18"/>
              </w:rPr>
              <w:t>is</w:t>
            </w:r>
            <w:r>
              <w:rPr>
                <w:spacing w:val="-4"/>
                <w:sz w:val="18"/>
              </w:rPr>
              <w:t> </w:t>
            </w:r>
            <w:r>
              <w:rPr>
                <w:sz w:val="18"/>
              </w:rPr>
              <w:t>assumed</w:t>
            </w:r>
            <w:r>
              <w:rPr>
                <w:spacing w:val="-9"/>
                <w:sz w:val="18"/>
              </w:rPr>
              <w:t> </w:t>
            </w:r>
            <w:r>
              <w:rPr>
                <w:sz w:val="18"/>
              </w:rPr>
              <w:t>to</w:t>
            </w:r>
            <w:r>
              <w:rPr>
                <w:spacing w:val="-8"/>
                <w:sz w:val="18"/>
              </w:rPr>
              <w:t> </w:t>
            </w:r>
            <w:r>
              <w:rPr>
                <w:sz w:val="18"/>
              </w:rPr>
              <w:t>increase</w:t>
            </w:r>
            <w:r>
              <w:rPr>
                <w:spacing w:val="-9"/>
                <w:sz w:val="18"/>
              </w:rPr>
              <w:t> </w:t>
            </w:r>
            <w:r>
              <w:rPr>
                <w:sz w:val="18"/>
              </w:rPr>
              <w:t>with</w:t>
            </w:r>
            <w:r>
              <w:rPr>
                <w:spacing w:val="-8"/>
                <w:sz w:val="18"/>
              </w:rPr>
              <w:t> </w:t>
            </w:r>
            <w:r>
              <w:rPr>
                <w:sz w:val="18"/>
              </w:rPr>
              <w:t>aged care</w:t>
            </w:r>
            <w:r>
              <w:rPr>
                <w:spacing w:val="-9"/>
                <w:sz w:val="18"/>
              </w:rPr>
              <w:t> </w:t>
            </w:r>
            <w:r>
              <w:rPr>
                <w:sz w:val="18"/>
              </w:rPr>
              <w:t>inflation</w:t>
            </w:r>
            <w:r>
              <w:rPr>
                <w:spacing w:val="-4"/>
                <w:sz w:val="18"/>
              </w:rPr>
              <w:t> </w:t>
            </w:r>
            <w:r>
              <w:rPr>
                <w:sz w:val="18"/>
              </w:rPr>
              <w:t>to</w:t>
            </w:r>
            <w:r>
              <w:rPr>
                <w:spacing w:val="-8"/>
                <w:sz w:val="18"/>
              </w:rPr>
              <w:t> </w:t>
            </w:r>
            <w:r>
              <w:rPr>
                <w:sz w:val="18"/>
              </w:rPr>
              <w:t>align</w:t>
            </w:r>
            <w:r>
              <w:rPr>
                <w:spacing w:val="-4"/>
                <w:sz w:val="18"/>
              </w:rPr>
              <w:t> </w:t>
            </w:r>
            <w:r>
              <w:rPr>
                <w:sz w:val="18"/>
              </w:rPr>
              <w:t>with</w:t>
            </w:r>
            <w:r>
              <w:rPr>
                <w:spacing w:val="-8"/>
                <w:sz w:val="18"/>
              </w:rPr>
              <w:t> </w:t>
            </w:r>
            <w:r>
              <w:rPr>
                <w:sz w:val="18"/>
              </w:rPr>
              <w:t>rising</w:t>
            </w:r>
            <w:r>
              <w:rPr>
                <w:spacing w:val="-4"/>
                <w:sz w:val="18"/>
              </w:rPr>
              <w:t> </w:t>
            </w:r>
            <w:r>
              <w:rPr>
                <w:sz w:val="18"/>
              </w:rPr>
              <w:t>costs. Low materiality as AAG controls fee adjustments.</w:t>
            </w:r>
          </w:p>
        </w:tc>
      </w:tr>
      <w:tr>
        <w:trPr>
          <w:trHeight w:val="1032" w:hRule="atLeast"/>
        </w:trPr>
        <w:tc>
          <w:tcPr>
            <w:tcW w:w="1258" w:type="dxa"/>
          </w:tcPr>
          <w:p>
            <w:pPr>
              <w:pStyle w:val="TableParagraph"/>
              <w:spacing w:before="85"/>
              <w:rPr>
                <w:sz w:val="18"/>
              </w:rPr>
            </w:pPr>
          </w:p>
          <w:p>
            <w:pPr>
              <w:pStyle w:val="TableParagraph"/>
              <w:spacing w:line="244" w:lineRule="auto"/>
              <w:ind w:left="115" w:right="186"/>
              <w:rPr>
                <w:sz w:val="18"/>
              </w:rPr>
            </w:pPr>
            <w:r>
              <w:rPr>
                <w:sz w:val="18"/>
              </w:rPr>
              <w:t>Timing</w:t>
            </w:r>
            <w:r>
              <w:rPr>
                <w:spacing w:val="-1"/>
                <w:sz w:val="18"/>
              </w:rPr>
              <w:t> </w:t>
            </w:r>
            <w:r>
              <w:rPr>
                <w:sz w:val="18"/>
              </w:rPr>
              <w:t>of </w:t>
            </w:r>
            <w:r>
              <w:rPr>
                <w:spacing w:val="-4"/>
                <w:sz w:val="18"/>
              </w:rPr>
              <w:t>cashflows</w:t>
            </w:r>
          </w:p>
        </w:tc>
        <w:tc>
          <w:tcPr>
            <w:tcW w:w="7765" w:type="dxa"/>
          </w:tcPr>
          <w:p>
            <w:pPr>
              <w:pStyle w:val="TableParagraph"/>
              <w:spacing w:before="196"/>
              <w:ind w:left="110" w:right="235"/>
              <w:rPr>
                <w:sz w:val="18"/>
              </w:rPr>
            </w:pPr>
            <w:r>
              <w:rPr>
                <w:sz w:val="18"/>
              </w:rPr>
              <w:t>Entry</w:t>
            </w:r>
            <w:r>
              <w:rPr>
                <w:spacing w:val="-16"/>
                <w:sz w:val="18"/>
              </w:rPr>
              <w:t> </w:t>
            </w:r>
            <w:r>
              <w:rPr>
                <w:sz w:val="18"/>
              </w:rPr>
              <w:t>fees</w:t>
            </w:r>
            <w:r>
              <w:rPr>
                <w:spacing w:val="-3"/>
                <w:sz w:val="18"/>
              </w:rPr>
              <w:t> </w:t>
            </w:r>
            <w:r>
              <w:rPr>
                <w:sz w:val="18"/>
              </w:rPr>
              <w:t>collected</w:t>
            </w:r>
            <w:r>
              <w:rPr>
                <w:spacing w:val="-1"/>
                <w:sz w:val="18"/>
              </w:rPr>
              <w:t> </w:t>
            </w:r>
            <w:r>
              <w:rPr>
                <w:sz w:val="18"/>
              </w:rPr>
              <w:t>at</w:t>
            </w:r>
            <w:r>
              <w:rPr>
                <w:spacing w:val="-1"/>
                <w:sz w:val="18"/>
              </w:rPr>
              <w:t> </w:t>
            </w:r>
            <w:r>
              <w:rPr>
                <w:sz w:val="18"/>
              </w:rPr>
              <w:t>start</w:t>
            </w:r>
            <w:r>
              <w:rPr>
                <w:spacing w:val="-7"/>
                <w:sz w:val="18"/>
              </w:rPr>
              <w:t> </w:t>
            </w:r>
            <w:r>
              <w:rPr>
                <w:sz w:val="18"/>
              </w:rPr>
              <w:t>of</w:t>
            </w:r>
            <w:r>
              <w:rPr>
                <w:spacing w:val="-7"/>
                <w:sz w:val="18"/>
              </w:rPr>
              <w:t> </w:t>
            </w:r>
            <w:r>
              <w:rPr>
                <w:sz w:val="18"/>
              </w:rPr>
              <w:t>year,</w:t>
            </w:r>
            <w:r>
              <w:rPr>
                <w:spacing w:val="-2"/>
                <w:sz w:val="18"/>
              </w:rPr>
              <w:t> </w:t>
            </w:r>
            <w:r>
              <w:rPr>
                <w:sz w:val="18"/>
              </w:rPr>
              <w:t>while</w:t>
            </w:r>
            <w:r>
              <w:rPr>
                <w:spacing w:val="-13"/>
                <w:sz w:val="18"/>
              </w:rPr>
              <w:t> </w:t>
            </w:r>
            <w:r>
              <w:rPr>
                <w:sz w:val="18"/>
              </w:rPr>
              <w:t>liabilities</w:t>
            </w:r>
            <w:r>
              <w:rPr>
                <w:spacing w:val="-5"/>
                <w:sz w:val="18"/>
              </w:rPr>
              <w:t> </w:t>
            </w:r>
            <w:r>
              <w:rPr>
                <w:sz w:val="18"/>
              </w:rPr>
              <w:t>are</w:t>
            </w:r>
            <w:r>
              <w:rPr>
                <w:spacing w:val="-9"/>
                <w:sz w:val="18"/>
              </w:rPr>
              <w:t> </w:t>
            </w:r>
            <w:r>
              <w:rPr>
                <w:sz w:val="18"/>
              </w:rPr>
              <w:t>paid</w:t>
            </w:r>
            <w:r>
              <w:rPr>
                <w:spacing w:val="-5"/>
                <w:sz w:val="18"/>
              </w:rPr>
              <w:t> </w:t>
            </w:r>
            <w:r>
              <w:rPr>
                <w:sz w:val="18"/>
              </w:rPr>
              <w:t>at</w:t>
            </w:r>
            <w:r>
              <w:rPr>
                <w:spacing w:val="-7"/>
                <w:sz w:val="18"/>
              </w:rPr>
              <w:t> </w:t>
            </w:r>
            <w:r>
              <w:rPr>
                <w:sz w:val="18"/>
              </w:rPr>
              <w:t>year-end,</w:t>
            </w:r>
            <w:r>
              <w:rPr>
                <w:spacing w:val="-2"/>
                <w:sz w:val="18"/>
              </w:rPr>
              <w:t> </w:t>
            </w:r>
            <w:r>
              <w:rPr>
                <w:sz w:val="18"/>
              </w:rPr>
              <w:t>allowing</w:t>
            </w:r>
            <w:r>
              <w:rPr>
                <w:spacing w:val="-13"/>
                <w:sz w:val="18"/>
              </w:rPr>
              <w:t> </w:t>
            </w:r>
            <w:r>
              <w:rPr>
                <w:sz w:val="18"/>
              </w:rPr>
              <w:t>AAG</w:t>
            </w:r>
            <w:r>
              <w:rPr>
                <w:spacing w:val="-3"/>
                <w:sz w:val="18"/>
              </w:rPr>
              <w:t> </w:t>
            </w:r>
            <w:r>
              <w:rPr>
                <w:sz w:val="18"/>
              </w:rPr>
              <w:t>to invest cashflows before expenses are incurred. Highly material, as continuous liability payments could create liquidity constraints, affecting investment opportunities.</w:t>
            </w:r>
          </w:p>
        </w:tc>
      </w:tr>
    </w:tbl>
    <w:p>
      <w:pPr>
        <w:spacing w:after="0"/>
        <w:rPr>
          <w:sz w:val="18"/>
        </w:rPr>
        <w:sectPr>
          <w:pgSz w:w="11910" w:h="16840"/>
          <w:pgMar w:header="0" w:footer="714" w:top="360" w:bottom="900" w:left="240" w:right="1240"/>
        </w:sectPr>
      </w:pPr>
    </w:p>
    <w:p>
      <w:pPr>
        <w:pStyle w:val="BodyText"/>
      </w:pPr>
      <w:r>
        <w:rPr/>
        <w:drawing>
          <wp:anchor distT="0" distB="0" distL="0" distR="0" allowOverlap="1" layoutInCell="1" locked="0" behindDoc="1" simplePos="0" relativeHeight="487152128">
            <wp:simplePos x="0" y="0"/>
            <wp:positionH relativeFrom="page">
              <wp:posOffset>227965</wp:posOffset>
            </wp:positionH>
            <wp:positionV relativeFrom="page">
              <wp:posOffset>245770</wp:posOffset>
            </wp:positionV>
            <wp:extent cx="1465529" cy="1019175"/>
            <wp:effectExtent l="0" t="0" r="0" b="0"/>
            <wp:wrapNone/>
            <wp:docPr id="46" name="Image 46"/>
            <wp:cNvGraphicFramePr>
              <a:graphicFrameLocks/>
            </wp:cNvGraphicFramePr>
            <a:graphic>
              <a:graphicData uri="http://schemas.openxmlformats.org/drawingml/2006/picture">
                <pic:pic>
                  <pic:nvPicPr>
                    <pic:cNvPr id="46" name="Image 46"/>
                    <pic:cNvPicPr/>
                  </pic:nvPicPr>
                  <pic:blipFill>
                    <a:blip r:embed="rId26" cstate="print"/>
                    <a:stretch>
                      <a:fillRect/>
                    </a:stretch>
                  </pic:blipFill>
                  <pic:spPr>
                    <a:xfrm>
                      <a:off x="0" y="0"/>
                      <a:ext cx="1465529" cy="1019175"/>
                    </a:xfrm>
                    <a:prstGeom prst="rect">
                      <a:avLst/>
                    </a:prstGeom>
                  </pic:spPr>
                </pic:pic>
              </a:graphicData>
            </a:graphic>
          </wp:anchor>
        </w:drawing>
      </w:r>
    </w:p>
    <w:p>
      <w:pPr>
        <w:pStyle w:val="BodyText"/>
      </w:pPr>
    </w:p>
    <w:p>
      <w:pPr>
        <w:pStyle w:val="BodyText"/>
      </w:pPr>
    </w:p>
    <w:p>
      <w:pPr>
        <w:pStyle w:val="BodyText"/>
        <w:spacing w:before="122" w:after="1"/>
      </w:pPr>
    </w:p>
    <w:tbl>
      <w:tblPr>
        <w:tblW w:w="0" w:type="auto"/>
        <w:jc w:val="left"/>
        <w:tblInd w:w="1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58"/>
        <w:gridCol w:w="7765"/>
      </w:tblGrid>
      <w:tr>
        <w:trPr>
          <w:trHeight w:val="2092" w:hRule="atLeast"/>
        </w:trPr>
        <w:tc>
          <w:tcPr>
            <w:tcW w:w="1258" w:type="dxa"/>
          </w:tcPr>
          <w:p>
            <w:pPr>
              <w:pStyle w:val="TableParagraph"/>
              <w:rPr>
                <w:sz w:val="18"/>
              </w:rPr>
            </w:pPr>
          </w:p>
          <w:p>
            <w:pPr>
              <w:pStyle w:val="TableParagraph"/>
              <w:rPr>
                <w:sz w:val="18"/>
              </w:rPr>
            </w:pPr>
          </w:p>
          <w:p>
            <w:pPr>
              <w:pStyle w:val="TableParagraph"/>
              <w:rPr>
                <w:sz w:val="18"/>
              </w:rPr>
            </w:pPr>
          </w:p>
          <w:p>
            <w:pPr>
              <w:pStyle w:val="TableParagraph"/>
              <w:spacing w:before="1"/>
              <w:rPr>
                <w:sz w:val="18"/>
              </w:rPr>
            </w:pPr>
          </w:p>
          <w:p>
            <w:pPr>
              <w:pStyle w:val="TableParagraph"/>
              <w:ind w:left="115" w:right="186"/>
              <w:rPr>
                <w:sz w:val="18"/>
              </w:rPr>
            </w:pPr>
            <w:r>
              <w:rPr>
                <w:spacing w:val="-2"/>
                <w:sz w:val="18"/>
              </w:rPr>
              <w:t>Buffer</w:t>
            </w:r>
            <w:r>
              <w:rPr>
                <w:spacing w:val="-11"/>
                <w:sz w:val="18"/>
              </w:rPr>
              <w:t> </w:t>
            </w:r>
            <w:r>
              <w:rPr>
                <w:spacing w:val="-2"/>
                <w:sz w:val="18"/>
              </w:rPr>
              <w:t>on liabilities</w:t>
            </w:r>
          </w:p>
        </w:tc>
        <w:tc>
          <w:tcPr>
            <w:tcW w:w="7765" w:type="dxa"/>
          </w:tcPr>
          <w:p>
            <w:pPr>
              <w:pStyle w:val="TableParagraph"/>
              <w:spacing w:before="195"/>
              <w:ind w:left="110"/>
              <w:rPr>
                <w:sz w:val="18"/>
              </w:rPr>
            </w:pPr>
            <w:r>
              <w:rPr>
                <w:sz w:val="18"/>
              </w:rPr>
              <w:t>AAG</w:t>
            </w:r>
            <w:r>
              <w:rPr>
                <w:spacing w:val="-4"/>
                <w:sz w:val="18"/>
              </w:rPr>
              <w:t> </w:t>
            </w:r>
            <w:r>
              <w:rPr>
                <w:sz w:val="18"/>
              </w:rPr>
              <w:t>sets</w:t>
            </w:r>
            <w:r>
              <w:rPr>
                <w:spacing w:val="-4"/>
                <w:sz w:val="18"/>
              </w:rPr>
              <w:t> </w:t>
            </w:r>
            <w:r>
              <w:rPr>
                <w:sz w:val="18"/>
              </w:rPr>
              <w:t>buffer</w:t>
            </w:r>
            <w:r>
              <w:rPr>
                <w:spacing w:val="-1"/>
                <w:sz w:val="18"/>
              </w:rPr>
              <w:t> </w:t>
            </w:r>
            <w:r>
              <w:rPr>
                <w:sz w:val="18"/>
              </w:rPr>
              <w:t>to</w:t>
            </w:r>
            <w:r>
              <w:rPr>
                <w:spacing w:val="-4"/>
                <w:sz w:val="18"/>
              </w:rPr>
              <w:t> </w:t>
            </w:r>
            <w:r>
              <w:rPr>
                <w:sz w:val="18"/>
              </w:rPr>
              <w:t>be</w:t>
            </w:r>
            <w:r>
              <w:rPr>
                <w:spacing w:val="-13"/>
                <w:sz w:val="18"/>
              </w:rPr>
              <w:t> </w:t>
            </w:r>
            <w:r>
              <w:rPr>
                <w:spacing w:val="-2"/>
                <w:sz w:val="18"/>
              </w:rPr>
              <w:t>conservative:</w:t>
            </w:r>
          </w:p>
          <w:p>
            <w:pPr>
              <w:pStyle w:val="TableParagraph"/>
              <w:spacing w:before="1"/>
              <w:rPr>
                <w:sz w:val="18"/>
              </w:rPr>
            </w:pPr>
          </w:p>
          <w:p>
            <w:pPr>
              <w:pStyle w:val="TableParagraph"/>
              <w:numPr>
                <w:ilvl w:val="0"/>
                <w:numId w:val="5"/>
              </w:numPr>
              <w:tabs>
                <w:tab w:pos="830" w:val="left" w:leader="none"/>
              </w:tabs>
              <w:spacing w:line="240" w:lineRule="auto" w:before="1" w:after="0"/>
              <w:ind w:left="830" w:right="0" w:hanging="360"/>
              <w:jc w:val="left"/>
              <w:rPr>
                <w:sz w:val="18"/>
              </w:rPr>
            </w:pPr>
            <w:r>
              <w:rPr>
                <w:sz w:val="18"/>
              </w:rPr>
              <w:t>50%</w:t>
            </w:r>
            <w:r>
              <w:rPr>
                <w:spacing w:val="-13"/>
                <w:sz w:val="18"/>
              </w:rPr>
              <w:t> </w:t>
            </w:r>
            <w:r>
              <w:rPr>
                <w:sz w:val="18"/>
              </w:rPr>
              <w:t>(Years</w:t>
            </w:r>
            <w:r>
              <w:rPr>
                <w:spacing w:val="-12"/>
                <w:sz w:val="18"/>
              </w:rPr>
              <w:t> </w:t>
            </w:r>
            <w:r>
              <w:rPr>
                <w:sz w:val="18"/>
              </w:rPr>
              <w:t>1-10):</w:t>
            </w:r>
            <w:r>
              <w:rPr>
                <w:spacing w:val="-12"/>
                <w:sz w:val="18"/>
              </w:rPr>
              <w:t> </w:t>
            </w:r>
            <w:r>
              <w:rPr>
                <w:sz w:val="18"/>
              </w:rPr>
              <w:t>Ensures</w:t>
            </w:r>
            <w:r>
              <w:rPr>
                <w:spacing w:val="-6"/>
                <w:sz w:val="18"/>
              </w:rPr>
              <w:t> </w:t>
            </w:r>
            <w:r>
              <w:rPr>
                <w:sz w:val="18"/>
              </w:rPr>
              <w:t>liquidity</w:t>
            </w:r>
            <w:r>
              <w:rPr>
                <w:spacing w:val="-6"/>
                <w:sz w:val="18"/>
              </w:rPr>
              <w:t> </w:t>
            </w:r>
            <w:r>
              <w:rPr>
                <w:sz w:val="18"/>
              </w:rPr>
              <w:t>as</w:t>
            </w:r>
            <w:r>
              <w:rPr>
                <w:spacing w:val="-5"/>
                <w:sz w:val="18"/>
              </w:rPr>
              <w:t> </w:t>
            </w:r>
            <w:r>
              <w:rPr>
                <w:sz w:val="18"/>
              </w:rPr>
              <w:t>portfolio</w:t>
            </w:r>
            <w:r>
              <w:rPr>
                <w:spacing w:val="-17"/>
                <w:sz w:val="18"/>
              </w:rPr>
              <w:t> </w:t>
            </w:r>
            <w:r>
              <w:rPr>
                <w:sz w:val="18"/>
              </w:rPr>
              <w:t>is</w:t>
            </w:r>
            <w:r>
              <w:rPr>
                <w:spacing w:val="-13"/>
                <w:sz w:val="18"/>
              </w:rPr>
              <w:t> </w:t>
            </w:r>
            <w:r>
              <w:rPr>
                <w:spacing w:val="-2"/>
                <w:sz w:val="18"/>
              </w:rPr>
              <w:t>built.</w:t>
            </w:r>
          </w:p>
          <w:p>
            <w:pPr>
              <w:pStyle w:val="TableParagraph"/>
              <w:numPr>
                <w:ilvl w:val="0"/>
                <w:numId w:val="5"/>
              </w:numPr>
              <w:tabs>
                <w:tab w:pos="830" w:val="left" w:leader="none"/>
              </w:tabs>
              <w:spacing w:line="240" w:lineRule="auto" w:before="0" w:after="0"/>
              <w:ind w:left="830" w:right="1470" w:hanging="360"/>
              <w:jc w:val="left"/>
              <w:rPr>
                <w:sz w:val="18"/>
              </w:rPr>
            </w:pPr>
            <w:r>
              <w:rPr>
                <w:sz w:val="18"/>
              </w:rPr>
              <w:t>30%</w:t>
            </w:r>
            <w:r>
              <w:rPr>
                <w:spacing w:val="-13"/>
                <w:sz w:val="18"/>
              </w:rPr>
              <w:t> </w:t>
            </w:r>
            <w:r>
              <w:rPr>
                <w:sz w:val="18"/>
              </w:rPr>
              <w:t>(Years</w:t>
            </w:r>
            <w:r>
              <w:rPr>
                <w:spacing w:val="-12"/>
                <w:sz w:val="18"/>
              </w:rPr>
              <w:t> </w:t>
            </w:r>
            <w:r>
              <w:rPr>
                <w:sz w:val="18"/>
              </w:rPr>
              <w:t>11-20):</w:t>
            </w:r>
            <w:r>
              <w:rPr>
                <w:spacing w:val="-13"/>
                <w:sz w:val="18"/>
              </w:rPr>
              <w:t> </w:t>
            </w:r>
            <w:r>
              <w:rPr>
                <w:sz w:val="18"/>
              </w:rPr>
              <w:t>Maintains</w:t>
            </w:r>
            <w:r>
              <w:rPr>
                <w:spacing w:val="-12"/>
                <w:sz w:val="18"/>
              </w:rPr>
              <w:t> </w:t>
            </w:r>
            <w:r>
              <w:rPr>
                <w:sz w:val="18"/>
              </w:rPr>
              <w:t>reserves</w:t>
            </w:r>
            <w:r>
              <w:rPr>
                <w:spacing w:val="-13"/>
                <w:sz w:val="18"/>
              </w:rPr>
              <w:t> </w:t>
            </w:r>
            <w:r>
              <w:rPr>
                <w:sz w:val="18"/>
              </w:rPr>
              <w:t>while</w:t>
            </w:r>
            <w:r>
              <w:rPr>
                <w:spacing w:val="-17"/>
                <w:sz w:val="18"/>
              </w:rPr>
              <w:t> </w:t>
            </w:r>
            <w:r>
              <w:rPr>
                <w:sz w:val="18"/>
              </w:rPr>
              <w:t>increasing</w:t>
            </w:r>
            <w:r>
              <w:rPr>
                <w:spacing w:val="-17"/>
                <w:sz w:val="18"/>
              </w:rPr>
              <w:t> </w:t>
            </w:r>
            <w:r>
              <w:rPr>
                <w:sz w:val="18"/>
              </w:rPr>
              <w:t>investments. 10% (Years 21-30): Reflects mature portfolio with stable funding.</w:t>
            </w:r>
          </w:p>
          <w:p>
            <w:pPr>
              <w:pStyle w:val="TableParagraph"/>
              <w:spacing w:before="204"/>
              <w:ind w:left="110"/>
              <w:rPr>
                <w:sz w:val="18"/>
              </w:rPr>
            </w:pPr>
            <w:r>
              <w:rPr>
                <w:sz w:val="18"/>
              </w:rPr>
              <w:t>Material,</w:t>
            </w:r>
            <w:r>
              <w:rPr>
                <w:spacing w:val="-9"/>
                <w:sz w:val="18"/>
              </w:rPr>
              <w:t> </w:t>
            </w:r>
            <w:r>
              <w:rPr>
                <w:sz w:val="18"/>
              </w:rPr>
              <w:t>as</w:t>
            </w:r>
            <w:r>
              <w:rPr>
                <w:spacing w:val="-5"/>
                <w:sz w:val="18"/>
              </w:rPr>
              <w:t> </w:t>
            </w:r>
            <w:r>
              <w:rPr>
                <w:sz w:val="18"/>
              </w:rPr>
              <w:t>excessive</w:t>
            </w:r>
            <w:r>
              <w:rPr>
                <w:spacing w:val="-9"/>
                <w:sz w:val="18"/>
              </w:rPr>
              <w:t> </w:t>
            </w:r>
            <w:r>
              <w:rPr>
                <w:sz w:val="18"/>
              </w:rPr>
              <w:t>buffers</w:t>
            </w:r>
            <w:r>
              <w:rPr>
                <w:spacing w:val="-9"/>
                <w:sz w:val="18"/>
              </w:rPr>
              <w:t> </w:t>
            </w:r>
            <w:r>
              <w:rPr>
                <w:sz w:val="18"/>
              </w:rPr>
              <w:t>reduce</w:t>
            </w:r>
            <w:r>
              <w:rPr>
                <w:spacing w:val="-9"/>
                <w:sz w:val="18"/>
              </w:rPr>
              <w:t> </w:t>
            </w:r>
            <w:r>
              <w:rPr>
                <w:sz w:val="18"/>
              </w:rPr>
              <w:t>investment</w:t>
            </w:r>
            <w:r>
              <w:rPr>
                <w:spacing w:val="-2"/>
                <w:sz w:val="18"/>
              </w:rPr>
              <w:t> </w:t>
            </w:r>
            <w:r>
              <w:rPr>
                <w:sz w:val="18"/>
              </w:rPr>
              <w:t>efficiency</w:t>
            </w:r>
            <w:r>
              <w:rPr>
                <w:spacing w:val="-4"/>
                <w:sz w:val="18"/>
              </w:rPr>
              <w:t> </w:t>
            </w:r>
            <w:r>
              <w:rPr>
                <w:sz w:val="18"/>
              </w:rPr>
              <w:t>while</w:t>
            </w:r>
            <w:r>
              <w:rPr>
                <w:spacing w:val="-17"/>
                <w:sz w:val="18"/>
              </w:rPr>
              <w:t> </w:t>
            </w:r>
            <w:r>
              <w:rPr>
                <w:sz w:val="18"/>
              </w:rPr>
              <w:t>low</w:t>
            </w:r>
            <w:r>
              <w:rPr>
                <w:spacing w:val="-11"/>
                <w:sz w:val="18"/>
              </w:rPr>
              <w:t> </w:t>
            </w:r>
            <w:r>
              <w:rPr>
                <w:sz w:val="18"/>
              </w:rPr>
              <w:t>buffers</w:t>
            </w:r>
            <w:r>
              <w:rPr>
                <w:spacing w:val="-1"/>
                <w:sz w:val="18"/>
              </w:rPr>
              <w:t> </w:t>
            </w:r>
            <w:r>
              <w:rPr>
                <w:sz w:val="18"/>
              </w:rPr>
              <w:t>expose</w:t>
            </w:r>
            <w:r>
              <w:rPr>
                <w:spacing w:val="-16"/>
                <w:sz w:val="18"/>
              </w:rPr>
              <w:t> </w:t>
            </w:r>
            <w:r>
              <w:rPr>
                <w:sz w:val="18"/>
              </w:rPr>
              <w:t>AAG</w:t>
            </w:r>
            <w:r>
              <w:rPr>
                <w:spacing w:val="-3"/>
                <w:sz w:val="18"/>
              </w:rPr>
              <w:t> </w:t>
            </w:r>
            <w:r>
              <w:rPr>
                <w:sz w:val="18"/>
              </w:rPr>
              <w:t>to </w:t>
            </w:r>
            <w:r>
              <w:rPr>
                <w:spacing w:val="-2"/>
                <w:sz w:val="18"/>
              </w:rPr>
              <w:t>downturns.</w:t>
            </w:r>
          </w:p>
        </w:tc>
      </w:tr>
      <w:tr>
        <w:trPr>
          <w:trHeight w:val="5458" w:hRule="atLeast"/>
        </w:trPr>
        <w:tc>
          <w:tcPr>
            <w:tcW w:w="1258" w:type="dxa"/>
          </w:tcPr>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rPr>
                <w:sz w:val="18"/>
              </w:rPr>
            </w:pPr>
          </w:p>
          <w:p>
            <w:pPr>
              <w:pStyle w:val="TableParagraph"/>
              <w:spacing w:before="132"/>
              <w:rPr>
                <w:sz w:val="18"/>
              </w:rPr>
            </w:pPr>
          </w:p>
          <w:p>
            <w:pPr>
              <w:pStyle w:val="TableParagraph"/>
              <w:ind w:left="115" w:right="186"/>
              <w:rPr>
                <w:sz w:val="18"/>
              </w:rPr>
            </w:pPr>
            <w:r>
              <w:rPr>
                <w:spacing w:val="-4"/>
                <w:sz w:val="18"/>
              </w:rPr>
              <w:t>Projecting </w:t>
            </w:r>
            <w:r>
              <w:rPr>
                <w:spacing w:val="-2"/>
                <w:sz w:val="18"/>
              </w:rPr>
              <w:t>asset returns</w:t>
            </w:r>
          </w:p>
        </w:tc>
        <w:tc>
          <w:tcPr>
            <w:tcW w:w="7765" w:type="dxa"/>
          </w:tcPr>
          <w:p>
            <w:pPr>
              <w:pStyle w:val="TableParagraph"/>
              <w:spacing w:before="200"/>
              <w:ind w:left="110"/>
              <w:rPr>
                <w:sz w:val="18"/>
              </w:rPr>
            </w:pPr>
            <w:r>
              <w:rPr>
                <w:sz w:val="18"/>
              </w:rPr>
              <w:t>Yield</w:t>
            </w:r>
            <w:r>
              <w:rPr>
                <w:spacing w:val="-6"/>
                <w:sz w:val="18"/>
              </w:rPr>
              <w:t> </w:t>
            </w:r>
            <w:r>
              <w:rPr>
                <w:sz w:val="18"/>
              </w:rPr>
              <w:t>and</w:t>
            </w:r>
            <w:r>
              <w:rPr>
                <w:spacing w:val="-11"/>
                <w:sz w:val="18"/>
              </w:rPr>
              <w:t> </w:t>
            </w:r>
            <w:r>
              <w:rPr>
                <w:sz w:val="18"/>
              </w:rPr>
              <w:t>growth</w:t>
            </w:r>
            <w:r>
              <w:rPr>
                <w:spacing w:val="-10"/>
                <w:sz w:val="18"/>
              </w:rPr>
              <w:t> </w:t>
            </w:r>
            <w:r>
              <w:rPr>
                <w:sz w:val="18"/>
              </w:rPr>
              <w:t>rates</w:t>
            </w:r>
            <w:r>
              <w:rPr>
                <w:spacing w:val="-1"/>
                <w:sz w:val="18"/>
              </w:rPr>
              <w:t> </w:t>
            </w:r>
            <w:r>
              <w:rPr>
                <w:sz w:val="18"/>
              </w:rPr>
              <w:t>are</w:t>
            </w:r>
            <w:r>
              <w:rPr>
                <w:spacing w:val="-11"/>
                <w:sz w:val="18"/>
              </w:rPr>
              <w:t> </w:t>
            </w:r>
            <w:r>
              <w:rPr>
                <w:sz w:val="18"/>
              </w:rPr>
              <w:t>assumed</w:t>
            </w:r>
            <w:r>
              <w:rPr>
                <w:spacing w:val="-6"/>
                <w:sz w:val="18"/>
              </w:rPr>
              <w:t> </w:t>
            </w:r>
            <w:r>
              <w:rPr>
                <w:sz w:val="18"/>
              </w:rPr>
              <w:t>as</w:t>
            </w:r>
            <w:r>
              <w:rPr>
                <w:spacing w:val="-10"/>
                <w:sz w:val="18"/>
              </w:rPr>
              <w:t> </w:t>
            </w:r>
            <w:r>
              <w:rPr>
                <w:sz w:val="18"/>
              </w:rPr>
              <w:t>constant</w:t>
            </w:r>
            <w:r>
              <w:rPr>
                <w:spacing w:val="-9"/>
                <w:sz w:val="18"/>
              </w:rPr>
              <w:t> </w:t>
            </w:r>
            <w:r>
              <w:rPr>
                <w:sz w:val="18"/>
              </w:rPr>
              <w:t>over</w:t>
            </w:r>
            <w:r>
              <w:rPr>
                <w:spacing w:val="-1"/>
                <w:sz w:val="18"/>
              </w:rPr>
              <w:t> </w:t>
            </w:r>
            <w:r>
              <w:rPr>
                <w:sz w:val="18"/>
              </w:rPr>
              <w:t>30</w:t>
            </w:r>
            <w:r>
              <w:rPr>
                <w:spacing w:val="-7"/>
                <w:sz w:val="18"/>
              </w:rPr>
              <w:t> </w:t>
            </w:r>
            <w:r>
              <w:rPr>
                <w:sz w:val="18"/>
              </w:rPr>
              <w:t>years,</w:t>
            </w:r>
            <w:r>
              <w:rPr>
                <w:spacing w:val="-4"/>
                <w:sz w:val="18"/>
              </w:rPr>
              <w:t> </w:t>
            </w:r>
            <w:r>
              <w:rPr>
                <w:sz w:val="18"/>
              </w:rPr>
              <w:t>based</w:t>
            </w:r>
            <w:r>
              <w:rPr>
                <w:spacing w:val="-2"/>
                <w:sz w:val="18"/>
              </w:rPr>
              <w:t> </w:t>
            </w:r>
            <w:r>
              <w:rPr>
                <w:sz w:val="18"/>
              </w:rPr>
              <w:t>on</w:t>
            </w:r>
            <w:r>
              <w:rPr>
                <w:spacing w:val="-11"/>
                <w:sz w:val="18"/>
              </w:rPr>
              <w:t> </w:t>
            </w:r>
            <w:r>
              <w:rPr>
                <w:sz w:val="18"/>
              </w:rPr>
              <w:t>10-year</w:t>
            </w:r>
            <w:r>
              <w:rPr>
                <w:spacing w:val="-5"/>
                <w:sz w:val="18"/>
              </w:rPr>
              <w:t> </w:t>
            </w:r>
            <w:r>
              <w:rPr>
                <w:sz w:val="18"/>
              </w:rPr>
              <w:t>historical values to capture recent market conditions while avoiding outdated data. Historical data assumed as a reasonable indicator of future trends.</w:t>
            </w:r>
          </w:p>
          <w:p>
            <w:pPr>
              <w:pStyle w:val="TableParagraph"/>
              <w:spacing w:before="205"/>
              <w:ind w:left="110" w:right="179"/>
              <w:rPr>
                <w:sz w:val="18"/>
              </w:rPr>
            </w:pPr>
            <w:r>
              <w:rPr>
                <w:sz w:val="18"/>
              </w:rPr>
              <w:t>10-year</w:t>
            </w:r>
            <w:r>
              <w:rPr>
                <w:spacing w:val="-4"/>
                <w:sz w:val="18"/>
              </w:rPr>
              <w:t> </w:t>
            </w:r>
            <w:r>
              <w:rPr>
                <w:sz w:val="18"/>
              </w:rPr>
              <w:t>average</w:t>
            </w:r>
            <w:r>
              <w:rPr>
                <w:spacing w:val="-13"/>
                <w:sz w:val="18"/>
              </w:rPr>
              <w:t> </w:t>
            </w:r>
            <w:r>
              <w:rPr>
                <w:sz w:val="18"/>
              </w:rPr>
              <w:t>and</w:t>
            </w:r>
            <w:r>
              <w:rPr>
                <w:spacing w:val="-9"/>
                <w:sz w:val="18"/>
              </w:rPr>
              <w:t> </w:t>
            </w:r>
            <w:r>
              <w:rPr>
                <w:sz w:val="18"/>
              </w:rPr>
              <w:t>volatility</w:t>
            </w:r>
            <w:r>
              <w:rPr>
                <w:spacing w:val="-9"/>
                <w:sz w:val="18"/>
              </w:rPr>
              <w:t> </w:t>
            </w:r>
            <w:r>
              <w:rPr>
                <w:sz w:val="18"/>
              </w:rPr>
              <w:t>offer</w:t>
            </w:r>
            <w:r>
              <w:rPr>
                <w:spacing w:val="-2"/>
                <w:sz w:val="18"/>
              </w:rPr>
              <w:t> </w:t>
            </w:r>
            <w:r>
              <w:rPr>
                <w:sz w:val="18"/>
              </w:rPr>
              <w:t>higher</w:t>
            </w:r>
            <w:r>
              <w:rPr>
                <w:spacing w:val="-8"/>
                <w:sz w:val="18"/>
              </w:rPr>
              <w:t> </w:t>
            </w:r>
            <w:r>
              <w:rPr>
                <w:sz w:val="18"/>
              </w:rPr>
              <w:t>returns</w:t>
            </w:r>
            <w:r>
              <w:rPr>
                <w:spacing w:val="-4"/>
                <w:sz w:val="18"/>
              </w:rPr>
              <w:t> </w:t>
            </w:r>
            <w:r>
              <w:rPr>
                <w:sz w:val="18"/>
              </w:rPr>
              <w:t>with</w:t>
            </w:r>
            <w:r>
              <w:rPr>
                <w:spacing w:val="-10"/>
                <w:sz w:val="18"/>
              </w:rPr>
              <w:t> </w:t>
            </w:r>
            <w:r>
              <w:rPr>
                <w:sz w:val="18"/>
              </w:rPr>
              <w:t>lower</w:t>
            </w:r>
            <w:r>
              <w:rPr>
                <w:spacing w:val="-8"/>
                <w:sz w:val="18"/>
              </w:rPr>
              <w:t> </w:t>
            </w:r>
            <w:r>
              <w:rPr>
                <w:sz w:val="18"/>
              </w:rPr>
              <w:t>risk</w:t>
            </w:r>
            <w:r>
              <w:rPr>
                <w:spacing w:val="-9"/>
                <w:sz w:val="18"/>
              </w:rPr>
              <w:t> </w:t>
            </w:r>
            <w:r>
              <w:rPr>
                <w:sz w:val="18"/>
              </w:rPr>
              <w:t>compared</w:t>
            </w:r>
            <w:r>
              <w:rPr>
                <w:spacing w:val="-5"/>
                <w:sz w:val="18"/>
              </w:rPr>
              <w:t> </w:t>
            </w:r>
            <w:r>
              <w:rPr>
                <w:sz w:val="18"/>
              </w:rPr>
              <w:t>to</w:t>
            </w:r>
            <w:r>
              <w:rPr>
                <w:spacing w:val="-9"/>
                <w:sz w:val="18"/>
              </w:rPr>
              <w:t> </w:t>
            </w:r>
            <w:r>
              <w:rPr>
                <w:sz w:val="18"/>
              </w:rPr>
              <w:t>shorter timeframes, ensuring stable projections and reduced short-term volatility risks.</w:t>
            </w:r>
          </w:p>
          <w:p>
            <w:pPr>
              <w:pStyle w:val="TableParagraph"/>
              <w:spacing w:before="206"/>
              <w:ind w:left="110"/>
              <w:rPr>
                <w:sz w:val="18"/>
              </w:rPr>
            </w:pPr>
            <w:r>
              <w:rPr>
                <w:sz w:val="18"/>
              </w:rPr>
              <w:t>Dividends</w:t>
            </w:r>
            <w:r>
              <w:rPr>
                <w:spacing w:val="-10"/>
                <w:sz w:val="18"/>
              </w:rPr>
              <w:t> </w:t>
            </w:r>
            <w:r>
              <w:rPr>
                <w:sz w:val="18"/>
              </w:rPr>
              <w:t>and</w:t>
            </w:r>
            <w:r>
              <w:rPr>
                <w:spacing w:val="-11"/>
                <w:sz w:val="18"/>
              </w:rPr>
              <w:t> </w:t>
            </w:r>
            <w:r>
              <w:rPr>
                <w:sz w:val="18"/>
              </w:rPr>
              <w:t>coupons</w:t>
            </w:r>
            <w:r>
              <w:rPr>
                <w:spacing w:val="-11"/>
                <w:sz w:val="18"/>
              </w:rPr>
              <w:t> </w:t>
            </w:r>
            <w:r>
              <w:rPr>
                <w:sz w:val="18"/>
              </w:rPr>
              <w:t>being</w:t>
            </w:r>
            <w:r>
              <w:rPr>
                <w:spacing w:val="-12"/>
                <w:sz w:val="18"/>
              </w:rPr>
              <w:t> </w:t>
            </w:r>
            <w:r>
              <w:rPr>
                <w:sz w:val="18"/>
              </w:rPr>
              <w:t>semi-annual</w:t>
            </w:r>
            <w:r>
              <w:rPr>
                <w:spacing w:val="-4"/>
                <w:sz w:val="18"/>
              </w:rPr>
              <w:t> </w:t>
            </w:r>
            <w:r>
              <w:rPr>
                <w:sz w:val="18"/>
              </w:rPr>
              <w:t>align</w:t>
            </w:r>
            <w:r>
              <w:rPr>
                <w:spacing w:val="-7"/>
                <w:sz w:val="18"/>
              </w:rPr>
              <w:t> </w:t>
            </w:r>
            <w:r>
              <w:rPr>
                <w:sz w:val="18"/>
              </w:rPr>
              <w:t>with</w:t>
            </w:r>
            <w:r>
              <w:rPr>
                <w:spacing w:val="-13"/>
                <w:sz w:val="18"/>
              </w:rPr>
              <w:t> </w:t>
            </w:r>
            <w:r>
              <w:rPr>
                <w:sz w:val="18"/>
              </w:rPr>
              <w:t>market</w:t>
            </w:r>
            <w:r>
              <w:rPr>
                <w:spacing w:val="-9"/>
                <w:sz w:val="18"/>
              </w:rPr>
              <w:t> </w:t>
            </w:r>
            <w:r>
              <w:rPr>
                <w:spacing w:val="-2"/>
                <w:sz w:val="18"/>
              </w:rPr>
              <w:t>practices.</w:t>
            </w:r>
          </w:p>
          <w:p>
            <w:pPr>
              <w:pStyle w:val="TableParagraph"/>
              <w:spacing w:before="3"/>
              <w:rPr>
                <w:sz w:val="18"/>
              </w:rPr>
            </w:pPr>
          </w:p>
          <w:p>
            <w:pPr>
              <w:pStyle w:val="TableParagraph"/>
              <w:ind w:left="110" w:right="179"/>
              <w:rPr>
                <w:sz w:val="18"/>
              </w:rPr>
            </w:pPr>
            <w:r>
              <w:rPr>
                <w:sz w:val="18"/>
              </w:rPr>
              <w:t>Assumption is highly material as investment returns fund liabilities. Overestimating returns risks</w:t>
            </w:r>
            <w:r>
              <w:rPr>
                <w:spacing w:val="-13"/>
                <w:sz w:val="18"/>
              </w:rPr>
              <w:t> </w:t>
            </w:r>
            <w:r>
              <w:rPr>
                <w:sz w:val="18"/>
              </w:rPr>
              <w:t>insufficient</w:t>
            </w:r>
            <w:r>
              <w:rPr>
                <w:spacing w:val="-12"/>
                <w:sz w:val="18"/>
              </w:rPr>
              <w:t> </w:t>
            </w:r>
            <w:r>
              <w:rPr>
                <w:sz w:val="18"/>
              </w:rPr>
              <w:t>reserves,</w:t>
            </w:r>
            <w:r>
              <w:rPr>
                <w:spacing w:val="-2"/>
                <w:sz w:val="18"/>
              </w:rPr>
              <w:t> </w:t>
            </w:r>
            <w:r>
              <w:rPr>
                <w:sz w:val="18"/>
              </w:rPr>
              <w:t>while</w:t>
            </w:r>
            <w:r>
              <w:rPr>
                <w:spacing w:val="-13"/>
                <w:sz w:val="18"/>
              </w:rPr>
              <w:t> </w:t>
            </w:r>
            <w:r>
              <w:rPr>
                <w:sz w:val="18"/>
              </w:rPr>
              <w:t>underestimation</w:t>
            </w:r>
            <w:r>
              <w:rPr>
                <w:spacing w:val="-12"/>
                <w:sz w:val="18"/>
              </w:rPr>
              <w:t> </w:t>
            </w:r>
            <w:r>
              <w:rPr>
                <w:sz w:val="18"/>
              </w:rPr>
              <w:t>limits</w:t>
            </w:r>
            <w:r>
              <w:rPr>
                <w:spacing w:val="-5"/>
                <w:sz w:val="18"/>
              </w:rPr>
              <w:t> </w:t>
            </w:r>
            <w:r>
              <w:rPr>
                <w:sz w:val="18"/>
              </w:rPr>
              <w:t>asset</w:t>
            </w:r>
            <w:r>
              <w:rPr>
                <w:spacing w:val="-4"/>
                <w:sz w:val="18"/>
              </w:rPr>
              <w:t> </w:t>
            </w:r>
            <w:r>
              <w:rPr>
                <w:sz w:val="18"/>
              </w:rPr>
              <w:t>growth</w:t>
            </w:r>
            <w:r>
              <w:rPr>
                <w:spacing w:val="-13"/>
                <w:sz w:val="18"/>
              </w:rPr>
              <w:t> </w:t>
            </w:r>
            <w:r>
              <w:rPr>
                <w:sz w:val="18"/>
              </w:rPr>
              <w:t>and</w:t>
            </w:r>
            <w:r>
              <w:rPr>
                <w:spacing w:val="-13"/>
                <w:sz w:val="18"/>
              </w:rPr>
              <w:t> </w:t>
            </w:r>
            <w:r>
              <w:rPr>
                <w:sz w:val="18"/>
              </w:rPr>
              <w:t>funding</w:t>
            </w:r>
            <w:r>
              <w:rPr>
                <w:spacing w:val="-11"/>
                <w:sz w:val="18"/>
              </w:rPr>
              <w:t> </w:t>
            </w:r>
            <w:r>
              <w:rPr>
                <w:sz w:val="18"/>
              </w:rPr>
              <w:t>sustainability.</w:t>
            </w:r>
          </w:p>
          <w:p>
            <w:pPr>
              <w:pStyle w:val="TableParagraph"/>
              <w:spacing w:before="8" w:after="1"/>
              <w:rPr>
                <w:sz w:val="13"/>
              </w:rPr>
            </w:pPr>
          </w:p>
          <w:p>
            <w:pPr>
              <w:pStyle w:val="TableParagraph"/>
              <w:ind w:left="136"/>
              <w:rPr>
                <w:sz w:val="20"/>
              </w:rPr>
            </w:pPr>
            <w:r>
              <w:rPr>
                <w:sz w:val="20"/>
              </w:rPr>
              <w:drawing>
                <wp:inline distT="0" distB="0" distL="0" distR="0">
                  <wp:extent cx="4782750" cy="1604962"/>
                  <wp:effectExtent l="0" t="0" r="0" b="0"/>
                  <wp:docPr id="47" name="Image 47" descr="A table with numbers and text  AI-generated content may be incorrect."/>
                  <wp:cNvGraphicFramePr>
                    <a:graphicFrameLocks/>
                  </wp:cNvGraphicFramePr>
                  <a:graphic>
                    <a:graphicData uri="http://schemas.openxmlformats.org/drawingml/2006/picture">
                      <pic:pic>
                        <pic:nvPicPr>
                          <pic:cNvPr id="47" name="Image 47" descr="A table with numbers and text  AI-generated content may be incorrect."/>
                          <pic:cNvPicPr/>
                        </pic:nvPicPr>
                        <pic:blipFill>
                          <a:blip r:embed="rId31" cstate="print"/>
                          <a:stretch>
                            <a:fillRect/>
                          </a:stretch>
                        </pic:blipFill>
                        <pic:spPr>
                          <a:xfrm>
                            <a:off x="0" y="0"/>
                            <a:ext cx="4782750" cy="1604962"/>
                          </a:xfrm>
                          <a:prstGeom prst="rect">
                            <a:avLst/>
                          </a:prstGeom>
                        </pic:spPr>
                      </pic:pic>
                    </a:graphicData>
                  </a:graphic>
                </wp:inline>
              </w:drawing>
            </w:r>
            <w:r>
              <w:rPr>
                <w:sz w:val="20"/>
              </w:rPr>
            </w:r>
          </w:p>
          <w:p>
            <w:pPr>
              <w:pStyle w:val="TableParagraph"/>
              <w:spacing w:before="65"/>
              <w:rPr>
                <w:sz w:val="20"/>
              </w:rPr>
            </w:pPr>
          </w:p>
        </w:tc>
      </w:tr>
    </w:tbl>
    <w:p>
      <w:pPr>
        <w:pStyle w:val="Heading1"/>
        <w:spacing w:before="340"/>
      </w:pPr>
      <w:bookmarkStart w:name="Section 5 - Asset Allocation Recommendat" w:id="8"/>
      <w:bookmarkEnd w:id="8"/>
      <w:r>
        <w:rPr>
          <w:b w:val="0"/>
        </w:rPr>
      </w:r>
      <w:r>
        <w:rPr>
          <w:color w:val="0D465F"/>
        </w:rPr>
        <w:t>Section</w:t>
      </w:r>
      <w:r>
        <w:rPr>
          <w:color w:val="0D465F"/>
          <w:spacing w:val="-25"/>
        </w:rPr>
        <w:t> </w:t>
      </w:r>
      <w:r>
        <w:rPr>
          <w:color w:val="0D465F"/>
        </w:rPr>
        <w:t>5</w:t>
      </w:r>
      <w:r>
        <w:rPr>
          <w:color w:val="0D465F"/>
          <w:spacing w:val="-16"/>
        </w:rPr>
        <w:t> </w:t>
      </w:r>
      <w:r>
        <w:rPr>
          <w:color w:val="0D465F"/>
        </w:rPr>
        <w:t>-</w:t>
      </w:r>
      <w:r>
        <w:rPr>
          <w:color w:val="0D465F"/>
          <w:spacing w:val="-21"/>
        </w:rPr>
        <w:t> </w:t>
      </w:r>
      <w:r>
        <w:rPr>
          <w:color w:val="0D465F"/>
        </w:rPr>
        <w:t>Asset</w:t>
      </w:r>
      <w:r>
        <w:rPr>
          <w:color w:val="0D465F"/>
          <w:spacing w:val="-13"/>
        </w:rPr>
        <w:t> </w:t>
      </w:r>
      <w:r>
        <w:rPr>
          <w:color w:val="0D465F"/>
        </w:rPr>
        <w:t>Allocation</w:t>
      </w:r>
      <w:r>
        <w:rPr>
          <w:color w:val="0D465F"/>
          <w:spacing w:val="-8"/>
        </w:rPr>
        <w:t> </w:t>
      </w:r>
      <w:r>
        <w:rPr>
          <w:color w:val="0D465F"/>
          <w:spacing w:val="-2"/>
        </w:rPr>
        <w:t>Recommendation</w:t>
      </w:r>
    </w:p>
    <w:p>
      <w:pPr>
        <w:pStyle w:val="BodyText"/>
        <w:spacing w:line="278" w:lineRule="auto" w:before="157"/>
        <w:ind w:left="1200"/>
      </w:pPr>
      <w:r>
        <w:rPr/>
        <w:t>AAG’s</w:t>
      </w:r>
      <w:r>
        <w:rPr>
          <w:spacing w:val="-8"/>
        </w:rPr>
        <w:t> </w:t>
      </w:r>
      <w:r>
        <w:rPr/>
        <w:t>liabilities</w:t>
      </w:r>
      <w:r>
        <w:rPr>
          <w:spacing w:val="-8"/>
        </w:rPr>
        <w:t> </w:t>
      </w:r>
      <w:r>
        <w:rPr/>
        <w:t>increase</w:t>
      </w:r>
      <w:r>
        <w:rPr>
          <w:spacing w:val="-1"/>
        </w:rPr>
        <w:t> </w:t>
      </w:r>
      <w:r>
        <w:rPr/>
        <w:t>as</w:t>
      </w:r>
      <w:r>
        <w:rPr>
          <w:spacing w:val="-9"/>
        </w:rPr>
        <w:t> </w:t>
      </w:r>
      <w:r>
        <w:rPr/>
        <w:t>customers</w:t>
      </w:r>
      <w:r>
        <w:rPr>
          <w:spacing w:val="-8"/>
        </w:rPr>
        <w:t> </w:t>
      </w:r>
      <w:r>
        <w:rPr/>
        <w:t>require</w:t>
      </w:r>
      <w:r>
        <w:rPr>
          <w:spacing w:val="-10"/>
        </w:rPr>
        <w:t> </w:t>
      </w:r>
      <w:r>
        <w:rPr/>
        <w:t>more</w:t>
      </w:r>
      <w:r>
        <w:rPr>
          <w:spacing w:val="-6"/>
        </w:rPr>
        <w:t> </w:t>
      </w:r>
      <w:r>
        <w:rPr/>
        <w:t>care</w:t>
      </w:r>
      <w:r>
        <w:rPr>
          <w:spacing w:val="-1"/>
        </w:rPr>
        <w:t> </w:t>
      </w:r>
      <w:r>
        <w:rPr/>
        <w:t>while</w:t>
      </w:r>
      <w:r>
        <w:rPr>
          <w:spacing w:val="-6"/>
        </w:rPr>
        <w:t> </w:t>
      </w:r>
      <w:r>
        <w:rPr/>
        <w:t>revenue</w:t>
      </w:r>
      <w:r>
        <w:rPr>
          <w:spacing w:val="-5"/>
        </w:rPr>
        <w:t> </w:t>
      </w:r>
      <w:r>
        <w:rPr/>
        <w:t>rises</w:t>
      </w:r>
      <w:r>
        <w:rPr>
          <w:spacing w:val="-9"/>
        </w:rPr>
        <w:t> </w:t>
      </w:r>
      <w:r>
        <w:rPr/>
        <w:t>at a</w:t>
      </w:r>
      <w:r>
        <w:rPr>
          <w:spacing w:val="-1"/>
        </w:rPr>
        <w:t> </w:t>
      </w:r>
      <w:r>
        <w:rPr/>
        <w:t>slower rate due</w:t>
      </w:r>
      <w:r>
        <w:rPr>
          <w:spacing w:val="-1"/>
        </w:rPr>
        <w:t> </w:t>
      </w:r>
      <w:r>
        <w:rPr/>
        <w:t>to capped customer growth (</w:t>
      </w:r>
      <w:r>
        <w:rPr>
          <w:b/>
        </w:rPr>
        <w:t>Figure 7</w:t>
      </w:r>
      <w:r>
        <w:rPr/>
        <w:t>). The gap between revenue and costs requires an investment strategy that prioritise stability early on and liquidity as costs spike.</w:t>
      </w:r>
    </w:p>
    <w:p>
      <w:pPr>
        <w:pStyle w:val="BodyText"/>
        <w:spacing w:before="83"/>
      </w:pPr>
      <w:r>
        <w:rPr/>
        <w:drawing>
          <wp:anchor distT="0" distB="0" distL="0" distR="0" allowOverlap="1" layoutInCell="1" locked="0" behindDoc="1" simplePos="0" relativeHeight="487597568">
            <wp:simplePos x="0" y="0"/>
            <wp:positionH relativeFrom="page">
              <wp:posOffset>1821814</wp:posOffset>
            </wp:positionH>
            <wp:positionV relativeFrom="paragraph">
              <wp:posOffset>214312</wp:posOffset>
            </wp:positionV>
            <wp:extent cx="3952448" cy="2409825"/>
            <wp:effectExtent l="0" t="0" r="0" b="0"/>
            <wp:wrapTopAndBottom/>
            <wp:docPr id="48" name="Image 48" descr="A graph of a line  AI-generated content may be incorrect."/>
            <wp:cNvGraphicFramePr>
              <a:graphicFrameLocks/>
            </wp:cNvGraphicFramePr>
            <a:graphic>
              <a:graphicData uri="http://schemas.openxmlformats.org/drawingml/2006/picture">
                <pic:pic>
                  <pic:nvPicPr>
                    <pic:cNvPr id="48" name="Image 48" descr="A graph of a line  AI-generated content may be incorrect."/>
                    <pic:cNvPicPr/>
                  </pic:nvPicPr>
                  <pic:blipFill>
                    <a:blip r:embed="rId38" cstate="print"/>
                    <a:stretch>
                      <a:fillRect/>
                    </a:stretch>
                  </pic:blipFill>
                  <pic:spPr>
                    <a:xfrm>
                      <a:off x="0" y="0"/>
                      <a:ext cx="3952448" cy="2409825"/>
                    </a:xfrm>
                    <a:prstGeom prst="rect">
                      <a:avLst/>
                    </a:prstGeom>
                  </pic:spPr>
                </pic:pic>
              </a:graphicData>
            </a:graphic>
          </wp:anchor>
        </w:drawing>
      </w:r>
    </w:p>
    <w:p>
      <w:pPr>
        <w:pStyle w:val="BodyText"/>
        <w:spacing w:line="280" w:lineRule="auto" w:before="65"/>
        <w:ind w:left="1200" w:right="269"/>
      </w:pPr>
      <w:r>
        <w:rPr/>
        <w:t>An</w:t>
      </w:r>
      <w:r>
        <w:rPr>
          <w:spacing w:val="-8"/>
        </w:rPr>
        <w:t> </w:t>
      </w:r>
      <w:r>
        <w:rPr/>
        <w:t>initial</w:t>
      </w:r>
      <w:r>
        <w:rPr>
          <w:spacing w:val="-3"/>
        </w:rPr>
        <w:t> </w:t>
      </w:r>
      <w:r>
        <w:rPr/>
        <w:t>allocation</w:t>
      </w:r>
      <w:r>
        <w:rPr>
          <w:spacing w:val="-6"/>
        </w:rPr>
        <w:t> </w:t>
      </w:r>
      <w:r>
        <w:rPr/>
        <w:t>of 45%</w:t>
      </w:r>
      <w:r>
        <w:rPr>
          <w:spacing w:val="-8"/>
        </w:rPr>
        <w:t> </w:t>
      </w:r>
      <w:r>
        <w:rPr/>
        <w:t>government</w:t>
      </w:r>
      <w:r>
        <w:rPr>
          <w:spacing w:val="-9"/>
        </w:rPr>
        <w:t> </w:t>
      </w:r>
      <w:r>
        <w:rPr/>
        <w:t>bonds, 35%</w:t>
      </w:r>
      <w:r>
        <w:rPr>
          <w:spacing w:val="-8"/>
        </w:rPr>
        <w:t> </w:t>
      </w:r>
      <w:r>
        <w:rPr/>
        <w:t>equities, and</w:t>
      </w:r>
      <w:r>
        <w:rPr>
          <w:spacing w:val="-8"/>
        </w:rPr>
        <w:t> </w:t>
      </w:r>
      <w:r>
        <w:rPr/>
        <w:t>20%</w:t>
      </w:r>
      <w:r>
        <w:rPr>
          <w:spacing w:val="-8"/>
        </w:rPr>
        <w:t> </w:t>
      </w:r>
      <w:r>
        <w:rPr/>
        <w:t>bank</w:t>
      </w:r>
      <w:r>
        <w:rPr>
          <w:spacing w:val="-6"/>
        </w:rPr>
        <w:t> </w:t>
      </w:r>
      <w:r>
        <w:rPr/>
        <w:t>bills</w:t>
      </w:r>
      <w:r>
        <w:rPr>
          <w:spacing w:val="-11"/>
        </w:rPr>
        <w:t> </w:t>
      </w:r>
      <w:r>
        <w:rPr/>
        <w:t>is</w:t>
      </w:r>
      <w:r>
        <w:rPr>
          <w:spacing w:val="-11"/>
        </w:rPr>
        <w:t> </w:t>
      </w:r>
      <w:r>
        <w:rPr/>
        <w:t>recommended. Bonds provide stable cash flows (7% return, 1.48% volatility), equities support long-term income</w:t>
      </w:r>
    </w:p>
    <w:p>
      <w:pPr>
        <w:spacing w:after="0" w:line="280" w:lineRule="auto"/>
        <w:sectPr>
          <w:pgSz w:w="11910" w:h="16840"/>
          <w:pgMar w:header="0" w:footer="714" w:top="360" w:bottom="900" w:left="240" w:right="1240"/>
        </w:sectPr>
      </w:pPr>
    </w:p>
    <w:p>
      <w:pPr>
        <w:pStyle w:val="BodyText"/>
      </w:pPr>
    </w:p>
    <w:p>
      <w:pPr>
        <w:pStyle w:val="BodyText"/>
      </w:pPr>
    </w:p>
    <w:p>
      <w:pPr>
        <w:pStyle w:val="BodyText"/>
      </w:pPr>
    </w:p>
    <w:p>
      <w:pPr>
        <w:pStyle w:val="BodyText"/>
        <w:spacing w:before="117"/>
      </w:pPr>
    </w:p>
    <w:p>
      <w:pPr>
        <w:pStyle w:val="BodyText"/>
        <w:spacing w:line="276" w:lineRule="auto"/>
        <w:ind w:left="1200" w:right="269"/>
      </w:pPr>
      <w:r>
        <w:rPr/>
        <w:drawing>
          <wp:anchor distT="0" distB="0" distL="0" distR="0" allowOverlap="1" layoutInCell="1" locked="0" behindDoc="1" simplePos="0" relativeHeight="487153664">
            <wp:simplePos x="0" y="0"/>
            <wp:positionH relativeFrom="page">
              <wp:posOffset>227965</wp:posOffset>
            </wp:positionH>
            <wp:positionV relativeFrom="paragraph">
              <wp:posOffset>-664414</wp:posOffset>
            </wp:positionV>
            <wp:extent cx="1471930" cy="1023620"/>
            <wp:effectExtent l="0" t="0" r="0" b="0"/>
            <wp:wrapNone/>
            <wp:docPr id="49" name="Image 49"/>
            <wp:cNvGraphicFramePr>
              <a:graphicFrameLocks/>
            </wp:cNvGraphicFramePr>
            <a:graphic>
              <a:graphicData uri="http://schemas.openxmlformats.org/drawingml/2006/picture">
                <pic:pic>
                  <pic:nvPicPr>
                    <pic:cNvPr id="49" name="Image 49"/>
                    <pic:cNvPicPr/>
                  </pic:nvPicPr>
                  <pic:blipFill>
                    <a:blip r:embed="rId26" cstate="print"/>
                    <a:stretch>
                      <a:fillRect/>
                    </a:stretch>
                  </pic:blipFill>
                  <pic:spPr>
                    <a:xfrm>
                      <a:off x="0" y="0"/>
                      <a:ext cx="1471930" cy="1023620"/>
                    </a:xfrm>
                    <a:prstGeom prst="rect">
                      <a:avLst/>
                    </a:prstGeom>
                  </pic:spPr>
                </pic:pic>
              </a:graphicData>
            </a:graphic>
          </wp:anchor>
        </w:drawing>
      </w:r>
      <w:r>
        <w:rPr/>
        <w:t>growth (3.59% yield, 0.32% volatility), and bank bills ensure short-term liquidity (5.65%–5.69% returns). AAG should use returns to reinvest in 70% bonds, 20% equities, and 10% bank bills, compounding</w:t>
      </w:r>
      <w:r>
        <w:rPr>
          <w:spacing w:val="-3"/>
        </w:rPr>
        <w:t> </w:t>
      </w:r>
      <w:r>
        <w:rPr/>
        <w:t>inflows and strengthening liability coverage. Then, in 2044, reinvestments should be in the most liquid assets (bank bills 35%, equities 30%), ensuring enough liquidity to bridge the gap between</w:t>
      </w:r>
      <w:r>
        <w:rPr>
          <w:spacing w:val="-7"/>
        </w:rPr>
        <w:t> </w:t>
      </w:r>
      <w:r>
        <w:rPr/>
        <w:t>revenue</w:t>
      </w:r>
      <w:r>
        <w:rPr>
          <w:spacing w:val="-8"/>
        </w:rPr>
        <w:t> </w:t>
      </w:r>
      <w:r>
        <w:rPr/>
        <w:t>and</w:t>
      </w:r>
      <w:r>
        <w:rPr>
          <w:spacing w:val="-3"/>
        </w:rPr>
        <w:t> </w:t>
      </w:r>
      <w:r>
        <w:rPr/>
        <w:t>rising</w:t>
      </w:r>
      <w:r>
        <w:rPr>
          <w:spacing w:val="-7"/>
        </w:rPr>
        <w:t> </w:t>
      </w:r>
      <w:r>
        <w:rPr/>
        <w:t>aged</w:t>
      </w:r>
      <w:r>
        <w:rPr>
          <w:spacing w:val="-7"/>
        </w:rPr>
        <w:t> </w:t>
      </w:r>
      <w:r>
        <w:rPr/>
        <w:t>care</w:t>
      </w:r>
      <w:r>
        <w:rPr>
          <w:spacing w:val="-8"/>
        </w:rPr>
        <w:t> </w:t>
      </w:r>
      <w:r>
        <w:rPr/>
        <w:t>costs. By</w:t>
      </w:r>
      <w:r>
        <w:rPr>
          <w:spacing w:val="-1"/>
        </w:rPr>
        <w:t> </w:t>
      </w:r>
      <w:r>
        <w:rPr/>
        <w:t>2054,</w:t>
      </w:r>
      <w:r>
        <w:rPr>
          <w:spacing w:val="-9"/>
        </w:rPr>
        <w:t> </w:t>
      </w:r>
      <w:r>
        <w:rPr/>
        <w:t>the</w:t>
      </w:r>
      <w:r>
        <w:rPr>
          <w:spacing w:val="-8"/>
        </w:rPr>
        <w:t> </w:t>
      </w:r>
      <w:r>
        <w:rPr/>
        <w:t>portfolio</w:t>
      </w:r>
      <w:r>
        <w:rPr>
          <w:spacing w:val="-8"/>
        </w:rPr>
        <w:t> </w:t>
      </w:r>
      <w:r>
        <w:rPr/>
        <w:t>will comprise</w:t>
      </w:r>
      <w:r>
        <w:rPr>
          <w:spacing w:val="-6"/>
        </w:rPr>
        <w:t> </w:t>
      </w:r>
      <w:r>
        <w:rPr/>
        <w:t>70%</w:t>
      </w:r>
      <w:r>
        <w:rPr>
          <w:spacing w:val="-7"/>
        </w:rPr>
        <w:t> </w:t>
      </w:r>
      <w:r>
        <w:rPr/>
        <w:t>bank</w:t>
      </w:r>
      <w:r>
        <w:rPr>
          <w:spacing w:val="-2"/>
        </w:rPr>
        <w:t> </w:t>
      </w:r>
      <w:r>
        <w:rPr/>
        <w:t>bills, 25% equities, and 5% cash (</w:t>
      </w:r>
      <w:r>
        <w:rPr>
          <w:b/>
        </w:rPr>
        <w:t>Table 3</w:t>
      </w:r>
      <w:r>
        <w:rPr/>
        <w:t>).</w:t>
      </w:r>
    </w:p>
    <w:p>
      <w:pPr>
        <w:pStyle w:val="BodyText"/>
        <w:spacing w:before="1"/>
        <w:rPr>
          <w:sz w:val="13"/>
        </w:rPr>
      </w:pPr>
      <w:r>
        <w:rPr/>
        <w:drawing>
          <wp:anchor distT="0" distB="0" distL="0" distR="0" allowOverlap="1" layoutInCell="1" locked="0" behindDoc="1" simplePos="0" relativeHeight="487598592">
            <wp:simplePos x="0" y="0"/>
            <wp:positionH relativeFrom="page">
              <wp:posOffset>914400</wp:posOffset>
            </wp:positionH>
            <wp:positionV relativeFrom="paragraph">
              <wp:posOffset>111387</wp:posOffset>
            </wp:positionV>
            <wp:extent cx="5791049" cy="2627756"/>
            <wp:effectExtent l="0" t="0" r="0" b="0"/>
            <wp:wrapTopAndBottom/>
            <wp:docPr id="50" name="Image 50" descr="A screenshot of a computer  AI-generated content may be incorrect."/>
            <wp:cNvGraphicFramePr>
              <a:graphicFrameLocks/>
            </wp:cNvGraphicFramePr>
            <a:graphic>
              <a:graphicData uri="http://schemas.openxmlformats.org/drawingml/2006/picture">
                <pic:pic>
                  <pic:nvPicPr>
                    <pic:cNvPr id="50" name="Image 50" descr="A screenshot of a computer  AI-generated content may be incorrect."/>
                    <pic:cNvPicPr/>
                  </pic:nvPicPr>
                  <pic:blipFill>
                    <a:blip r:embed="rId39" cstate="print"/>
                    <a:stretch>
                      <a:fillRect/>
                    </a:stretch>
                  </pic:blipFill>
                  <pic:spPr>
                    <a:xfrm>
                      <a:off x="0" y="0"/>
                      <a:ext cx="5791049" cy="2627756"/>
                    </a:xfrm>
                    <a:prstGeom prst="rect">
                      <a:avLst/>
                    </a:prstGeom>
                  </pic:spPr>
                </pic:pic>
              </a:graphicData>
            </a:graphic>
          </wp:anchor>
        </w:drawing>
      </w:r>
    </w:p>
    <w:p>
      <w:pPr>
        <w:pStyle w:val="BodyText"/>
        <w:spacing w:line="278" w:lineRule="auto" w:before="150"/>
        <w:ind w:left="1200" w:right="178"/>
      </w:pPr>
      <w:r>
        <w:rPr/>
        <w:t>Comparing AAG’s starting allocation with AustralianSuper’s Stable Asset allocations (</w:t>
      </w:r>
      <w:r>
        <w:rPr>
          <w:b/>
        </w:rPr>
        <w:t>Figure 8</w:t>
      </w:r>
      <w:r>
        <w:rPr/>
        <w:t>) (AustralianSuper, 2025), as both want to achieve liquidity and stability, AAG’s 45% fixed interest (bonds) and 20% cash allocation (bills and cash) align with Stable’s 35% fixed interest and 18.4% cash. However, while Stable maintains 28% equities and 19% in infrastructure, property, and private equity,</w:t>
      </w:r>
      <w:r>
        <w:rPr>
          <w:spacing w:val="-15"/>
        </w:rPr>
        <w:t> </w:t>
      </w:r>
      <w:r>
        <w:rPr/>
        <w:t>AAG</w:t>
      </w:r>
      <w:r>
        <w:rPr>
          <w:spacing w:val="-16"/>
        </w:rPr>
        <w:t> </w:t>
      </w:r>
      <w:r>
        <w:rPr/>
        <w:t>maintains</w:t>
      </w:r>
      <w:r>
        <w:rPr>
          <w:spacing w:val="-8"/>
        </w:rPr>
        <w:t> </w:t>
      </w:r>
      <w:r>
        <w:rPr/>
        <w:t>35%</w:t>
      </w:r>
      <w:r>
        <w:rPr>
          <w:spacing w:val="-1"/>
        </w:rPr>
        <w:t> </w:t>
      </w:r>
      <w:r>
        <w:rPr/>
        <w:t>equities</w:t>
      </w:r>
      <w:r>
        <w:rPr>
          <w:spacing w:val="-9"/>
        </w:rPr>
        <w:t> </w:t>
      </w:r>
      <w:r>
        <w:rPr/>
        <w:t>but</w:t>
      </w:r>
      <w:r>
        <w:rPr>
          <w:spacing w:val="-3"/>
        </w:rPr>
        <w:t> </w:t>
      </w:r>
      <w:r>
        <w:rPr/>
        <w:t>increases</w:t>
      </w:r>
      <w:r>
        <w:rPr>
          <w:spacing w:val="-9"/>
        </w:rPr>
        <w:t> </w:t>
      </w:r>
      <w:r>
        <w:rPr/>
        <w:t>liquidity</w:t>
      </w:r>
      <w:r>
        <w:rPr>
          <w:spacing w:val="-8"/>
        </w:rPr>
        <w:t> </w:t>
      </w:r>
      <w:r>
        <w:rPr/>
        <w:t>through</w:t>
      </w:r>
      <w:r>
        <w:rPr>
          <w:spacing w:val="-1"/>
        </w:rPr>
        <w:t> </w:t>
      </w:r>
      <w:r>
        <w:rPr/>
        <w:t>bank bills</w:t>
      </w:r>
      <w:r>
        <w:rPr>
          <w:spacing w:val="-17"/>
        </w:rPr>
        <w:t> </w:t>
      </w:r>
      <w:r>
        <w:rPr/>
        <w:t>for</w:t>
      </w:r>
      <w:r>
        <w:rPr>
          <w:spacing w:val="-4"/>
        </w:rPr>
        <w:t> </w:t>
      </w:r>
      <w:r>
        <w:rPr/>
        <w:t>predictable</w:t>
      </w:r>
      <w:r>
        <w:rPr>
          <w:spacing w:val="-5"/>
        </w:rPr>
        <w:t> </w:t>
      </w:r>
      <w:r>
        <w:rPr/>
        <w:t>aged</w:t>
      </w:r>
      <w:r>
        <w:rPr>
          <w:spacing w:val="-1"/>
        </w:rPr>
        <w:t> </w:t>
      </w:r>
      <w:r>
        <w:rPr/>
        <w:t>care funding. By 2044, 70% of AAG’s portfolio will move into bank bills, reinforcing liquidity as aged care costs increase. Unlike AustralianSuper’s static model, AAG requires a dynamic process for liquidity dominance to ensure it meets obligations. Furthermore, AAG’s portfolio is exposed to fewer asset types than AustralianSuper’s.</w:t>
      </w:r>
    </w:p>
    <w:p>
      <w:pPr>
        <w:pStyle w:val="BodyText"/>
        <w:spacing w:before="38"/>
      </w:pPr>
    </w:p>
    <w:p>
      <w:pPr>
        <w:spacing w:before="0"/>
        <w:ind w:left="1349" w:right="0" w:firstLine="0"/>
        <w:jc w:val="left"/>
        <w:rPr>
          <w:b/>
          <w:sz w:val="20"/>
        </w:rPr>
      </w:pPr>
      <w:r>
        <w:rPr>
          <w:b/>
          <w:color w:val="153B61"/>
          <w:spacing w:val="-2"/>
          <w:sz w:val="20"/>
        </w:rPr>
        <w:t>Figure</w:t>
      </w:r>
      <w:r>
        <w:rPr>
          <w:b/>
          <w:color w:val="153B61"/>
          <w:spacing w:val="-6"/>
          <w:sz w:val="20"/>
        </w:rPr>
        <w:t> </w:t>
      </w:r>
      <w:r>
        <w:rPr>
          <w:b/>
          <w:color w:val="153B61"/>
          <w:spacing w:val="-2"/>
          <w:sz w:val="20"/>
        </w:rPr>
        <w:t>8:</w:t>
      </w:r>
      <w:r>
        <w:rPr>
          <w:b/>
          <w:color w:val="153B61"/>
          <w:spacing w:val="-5"/>
          <w:sz w:val="20"/>
        </w:rPr>
        <w:t> </w:t>
      </w:r>
      <w:r>
        <w:rPr>
          <w:b/>
          <w:color w:val="153B61"/>
          <w:spacing w:val="-2"/>
          <w:sz w:val="20"/>
        </w:rPr>
        <w:t>Comparison</w:t>
      </w:r>
      <w:r>
        <w:rPr>
          <w:b/>
          <w:color w:val="153B61"/>
          <w:spacing w:val="-6"/>
          <w:sz w:val="20"/>
        </w:rPr>
        <w:t> </w:t>
      </w:r>
      <w:r>
        <w:rPr>
          <w:b/>
          <w:color w:val="153B61"/>
          <w:spacing w:val="-2"/>
          <w:sz w:val="20"/>
        </w:rPr>
        <w:t>of</w:t>
      </w:r>
      <w:r>
        <w:rPr>
          <w:b/>
          <w:color w:val="153B61"/>
          <w:spacing w:val="-10"/>
          <w:sz w:val="20"/>
        </w:rPr>
        <w:t> </w:t>
      </w:r>
      <w:r>
        <w:rPr>
          <w:b/>
          <w:color w:val="153B61"/>
          <w:spacing w:val="-2"/>
          <w:sz w:val="20"/>
        </w:rPr>
        <w:t>Asset</w:t>
      </w:r>
      <w:r>
        <w:rPr>
          <w:b/>
          <w:color w:val="153B61"/>
          <w:spacing w:val="-4"/>
          <w:sz w:val="20"/>
        </w:rPr>
        <w:t> </w:t>
      </w:r>
      <w:r>
        <w:rPr>
          <w:b/>
          <w:color w:val="153B61"/>
          <w:spacing w:val="-2"/>
          <w:sz w:val="20"/>
        </w:rPr>
        <w:t>Allocations</w:t>
      </w:r>
    </w:p>
    <w:p>
      <w:pPr>
        <w:pStyle w:val="BodyText"/>
        <w:spacing w:before="227"/>
        <w:rPr>
          <w:b/>
        </w:rPr>
      </w:pPr>
      <w:r>
        <w:rPr/>
        <w:drawing>
          <wp:anchor distT="0" distB="0" distL="0" distR="0" allowOverlap="1" layoutInCell="1" locked="0" behindDoc="1" simplePos="0" relativeHeight="487599104">
            <wp:simplePos x="0" y="0"/>
            <wp:positionH relativeFrom="page">
              <wp:posOffset>883285</wp:posOffset>
            </wp:positionH>
            <wp:positionV relativeFrom="paragraph">
              <wp:posOffset>305589</wp:posOffset>
            </wp:positionV>
            <wp:extent cx="5035736" cy="2042922"/>
            <wp:effectExtent l="0" t="0" r="0" b="0"/>
            <wp:wrapTopAndBottom/>
            <wp:docPr id="51" name="Image 51" descr="A pie chart with text on it  AI-generated content may be incorrect."/>
            <wp:cNvGraphicFramePr>
              <a:graphicFrameLocks/>
            </wp:cNvGraphicFramePr>
            <a:graphic>
              <a:graphicData uri="http://schemas.openxmlformats.org/drawingml/2006/picture">
                <pic:pic>
                  <pic:nvPicPr>
                    <pic:cNvPr id="51" name="Image 51" descr="A pie chart with text on it  AI-generated content may be incorrect."/>
                    <pic:cNvPicPr/>
                  </pic:nvPicPr>
                  <pic:blipFill>
                    <a:blip r:embed="rId40" cstate="print"/>
                    <a:stretch>
                      <a:fillRect/>
                    </a:stretch>
                  </pic:blipFill>
                  <pic:spPr>
                    <a:xfrm>
                      <a:off x="0" y="0"/>
                      <a:ext cx="5035736" cy="2042922"/>
                    </a:xfrm>
                    <a:prstGeom prst="rect">
                      <a:avLst/>
                    </a:prstGeom>
                  </pic:spPr>
                </pic:pic>
              </a:graphicData>
            </a:graphic>
          </wp:anchor>
        </w:drawing>
      </w:r>
    </w:p>
    <w:p>
      <w:pPr>
        <w:pStyle w:val="BodyText"/>
        <w:spacing w:line="276" w:lineRule="auto" w:before="48"/>
        <w:ind w:left="1200" w:right="269"/>
      </w:pPr>
      <w:r>
        <w:rPr/>
        <w:t>A stress test compared the</w:t>
      </w:r>
      <w:r>
        <w:rPr>
          <w:spacing w:val="-2"/>
        </w:rPr>
        <w:t> </w:t>
      </w:r>
      <w:r>
        <w:rPr/>
        <w:t>initial portfolio</w:t>
      </w:r>
      <w:r>
        <w:rPr>
          <w:spacing w:val="-2"/>
        </w:rPr>
        <w:t> </w:t>
      </w:r>
      <w:r>
        <w:rPr/>
        <w:t>to high equity (70% equities) and high bond (70% bonds) portfolios. All performed similarly early on, but high equity declined sharply when equity growth dropped 50% (Figure 9).</w:t>
      </w:r>
      <w:r>
        <w:rPr>
          <w:spacing w:val="-3"/>
        </w:rPr>
        <w:t> </w:t>
      </w:r>
      <w:r>
        <w:rPr/>
        <w:t>When equity growth and bond yields fell 50% (Figure 10), all strategies weakened, with</w:t>
      </w:r>
      <w:r>
        <w:rPr>
          <w:spacing w:val="-7"/>
        </w:rPr>
        <w:t> </w:t>
      </w:r>
      <w:r>
        <w:rPr/>
        <w:t>the</w:t>
      </w:r>
      <w:r>
        <w:rPr>
          <w:spacing w:val="-8"/>
        </w:rPr>
        <w:t> </w:t>
      </w:r>
      <w:r>
        <w:rPr/>
        <w:t>recommended</w:t>
      </w:r>
      <w:r>
        <w:rPr>
          <w:spacing w:val="-7"/>
        </w:rPr>
        <w:t> </w:t>
      </w:r>
      <w:r>
        <w:rPr/>
        <w:t>strategy</w:t>
      </w:r>
      <w:r>
        <w:rPr>
          <w:spacing w:val="-1"/>
        </w:rPr>
        <w:t> </w:t>
      </w:r>
      <w:r>
        <w:rPr/>
        <w:t>performing</w:t>
      </w:r>
      <w:r>
        <w:rPr>
          <w:spacing w:val="-12"/>
        </w:rPr>
        <w:t> </w:t>
      </w:r>
      <w:r>
        <w:rPr/>
        <w:t>the</w:t>
      </w:r>
      <w:r>
        <w:rPr>
          <w:spacing w:val="-8"/>
        </w:rPr>
        <w:t> </w:t>
      </w:r>
      <w:r>
        <w:rPr/>
        <w:t>best. High</w:t>
      </w:r>
      <w:r>
        <w:rPr>
          <w:spacing w:val="-7"/>
        </w:rPr>
        <w:t> </w:t>
      </w:r>
      <w:r>
        <w:rPr/>
        <w:t>bond</w:t>
      </w:r>
      <w:r>
        <w:rPr>
          <w:spacing w:val="-7"/>
        </w:rPr>
        <w:t> </w:t>
      </w:r>
      <w:r>
        <w:rPr/>
        <w:t>strategy</w:t>
      </w:r>
      <w:r>
        <w:rPr>
          <w:spacing w:val="-1"/>
        </w:rPr>
        <w:t> </w:t>
      </w:r>
      <w:r>
        <w:rPr/>
        <w:t>remained</w:t>
      </w:r>
      <w:r>
        <w:rPr>
          <w:spacing w:val="-7"/>
        </w:rPr>
        <w:t> </w:t>
      </w:r>
      <w:r>
        <w:rPr/>
        <w:t>stable</w:t>
      </w:r>
    </w:p>
    <w:p>
      <w:pPr>
        <w:spacing w:after="0" w:line="276" w:lineRule="auto"/>
        <w:sectPr>
          <w:pgSz w:w="11910" w:h="16840"/>
          <w:pgMar w:header="0" w:footer="714" w:top="360" w:bottom="900" w:left="240" w:right="1240"/>
        </w:sectPr>
      </w:pPr>
    </w:p>
    <w:p>
      <w:pPr>
        <w:pStyle w:val="BodyText"/>
      </w:pPr>
    </w:p>
    <w:p>
      <w:pPr>
        <w:pStyle w:val="BodyText"/>
      </w:pPr>
    </w:p>
    <w:p>
      <w:pPr>
        <w:pStyle w:val="BodyText"/>
      </w:pPr>
    </w:p>
    <w:p>
      <w:pPr>
        <w:pStyle w:val="BodyText"/>
        <w:spacing w:before="117"/>
      </w:pPr>
    </w:p>
    <w:p>
      <w:pPr>
        <w:pStyle w:val="BodyText"/>
        <w:spacing w:line="278" w:lineRule="auto"/>
        <w:ind w:left="1200" w:right="269"/>
      </w:pPr>
      <w:r>
        <w:rPr/>
        <w:drawing>
          <wp:anchor distT="0" distB="0" distL="0" distR="0" allowOverlap="1" layoutInCell="1" locked="0" behindDoc="1" simplePos="0" relativeHeight="487155712">
            <wp:simplePos x="0" y="0"/>
            <wp:positionH relativeFrom="page">
              <wp:posOffset>227965</wp:posOffset>
            </wp:positionH>
            <wp:positionV relativeFrom="paragraph">
              <wp:posOffset>-664414</wp:posOffset>
            </wp:positionV>
            <wp:extent cx="1471930" cy="1023620"/>
            <wp:effectExtent l="0" t="0" r="0" b="0"/>
            <wp:wrapNone/>
            <wp:docPr id="52" name="Image 52"/>
            <wp:cNvGraphicFramePr>
              <a:graphicFrameLocks/>
            </wp:cNvGraphicFramePr>
            <a:graphic>
              <a:graphicData uri="http://schemas.openxmlformats.org/drawingml/2006/picture">
                <pic:pic>
                  <pic:nvPicPr>
                    <pic:cNvPr id="52" name="Image 52"/>
                    <pic:cNvPicPr/>
                  </pic:nvPicPr>
                  <pic:blipFill>
                    <a:blip r:embed="rId26" cstate="print"/>
                    <a:stretch>
                      <a:fillRect/>
                    </a:stretch>
                  </pic:blipFill>
                  <pic:spPr>
                    <a:xfrm>
                      <a:off x="0" y="0"/>
                      <a:ext cx="1471930" cy="1023620"/>
                    </a:xfrm>
                    <a:prstGeom prst="rect">
                      <a:avLst/>
                    </a:prstGeom>
                  </pic:spPr>
                </pic:pic>
              </a:graphicData>
            </a:graphic>
          </wp:anchor>
        </w:drawing>
      </w:r>
      <w:r>
        <w:rPr/>
        <w:t>when only bond yields declined (Figure 11), while high</w:t>
      </w:r>
      <w:r>
        <w:rPr>
          <w:spacing w:val="-1"/>
        </w:rPr>
        <w:t> </w:t>
      </w:r>
      <w:r>
        <w:rPr/>
        <w:t>equity performed the worst again. In all three scenarios, high</w:t>
      </w:r>
      <w:r>
        <w:rPr>
          <w:spacing w:val="-2"/>
        </w:rPr>
        <w:t> </w:t>
      </w:r>
      <w:r>
        <w:rPr/>
        <w:t>equity</w:t>
      </w:r>
      <w:r>
        <w:rPr>
          <w:spacing w:val="-14"/>
        </w:rPr>
        <w:t> </w:t>
      </w:r>
      <w:r>
        <w:rPr/>
        <w:t>is</w:t>
      </w:r>
      <w:r>
        <w:rPr>
          <w:spacing w:val="-10"/>
        </w:rPr>
        <w:t> </w:t>
      </w:r>
      <w:r>
        <w:rPr/>
        <w:t>worst-off.</w:t>
      </w:r>
      <w:r>
        <w:rPr>
          <w:spacing w:val="-13"/>
        </w:rPr>
        <w:t> </w:t>
      </w:r>
      <w:r>
        <w:rPr/>
        <w:t>The</w:t>
      </w:r>
      <w:r>
        <w:rPr>
          <w:spacing w:val="-3"/>
        </w:rPr>
        <w:t> </w:t>
      </w:r>
      <w:r>
        <w:rPr/>
        <w:t>high</w:t>
      </w:r>
      <w:r>
        <w:rPr>
          <w:spacing w:val="-3"/>
        </w:rPr>
        <w:t> </w:t>
      </w:r>
      <w:r>
        <w:rPr/>
        <w:t>bond</w:t>
      </w:r>
      <w:r>
        <w:rPr>
          <w:spacing w:val="-3"/>
        </w:rPr>
        <w:t> </w:t>
      </w:r>
      <w:r>
        <w:rPr/>
        <w:t>strategy</w:t>
      </w:r>
      <w:r>
        <w:rPr>
          <w:spacing w:val="-1"/>
        </w:rPr>
        <w:t> </w:t>
      </w:r>
      <w:r>
        <w:rPr/>
        <w:t>remains</w:t>
      </w:r>
      <w:r>
        <w:rPr>
          <w:spacing w:val="-10"/>
        </w:rPr>
        <w:t> </w:t>
      </w:r>
      <w:r>
        <w:rPr/>
        <w:t>stable,</w:t>
      </w:r>
      <w:r>
        <w:rPr>
          <w:spacing w:val="-5"/>
        </w:rPr>
        <w:t> </w:t>
      </w:r>
      <w:r>
        <w:rPr/>
        <w:t>but</w:t>
      </w:r>
      <w:r>
        <w:rPr>
          <w:spacing w:val="-4"/>
        </w:rPr>
        <w:t> </w:t>
      </w:r>
      <w:r>
        <w:rPr/>
        <w:t>when</w:t>
      </w:r>
      <w:r>
        <w:rPr>
          <w:spacing w:val="-3"/>
        </w:rPr>
        <w:t> </w:t>
      </w:r>
      <w:r>
        <w:rPr/>
        <w:t>both</w:t>
      </w:r>
      <w:r>
        <w:rPr>
          <w:spacing w:val="-3"/>
        </w:rPr>
        <w:t> </w:t>
      </w:r>
      <w:r>
        <w:rPr/>
        <w:t>equities</w:t>
      </w:r>
      <w:r>
        <w:rPr>
          <w:spacing w:val="-10"/>
        </w:rPr>
        <w:t> </w:t>
      </w:r>
      <w:r>
        <w:rPr/>
        <w:t>and bonds</w:t>
      </w:r>
      <w:r>
        <w:rPr>
          <w:spacing w:val="-5"/>
        </w:rPr>
        <w:t> </w:t>
      </w:r>
      <w:r>
        <w:rPr/>
        <w:t>are</w:t>
      </w:r>
      <w:r>
        <w:rPr>
          <w:spacing w:val="-2"/>
        </w:rPr>
        <w:t> </w:t>
      </w:r>
      <w:r>
        <w:rPr/>
        <w:t>affected, the</w:t>
      </w:r>
      <w:r>
        <w:rPr>
          <w:spacing w:val="-2"/>
        </w:rPr>
        <w:t> </w:t>
      </w:r>
      <w:r>
        <w:rPr/>
        <w:t>strategy</w:t>
      </w:r>
      <w:r>
        <w:rPr>
          <w:spacing w:val="-5"/>
        </w:rPr>
        <w:t> </w:t>
      </w:r>
      <w:r>
        <w:rPr/>
        <w:t>performs</w:t>
      </w:r>
      <w:r>
        <w:rPr>
          <w:spacing w:val="-3"/>
        </w:rPr>
        <w:t> </w:t>
      </w:r>
      <w:r>
        <w:rPr/>
        <w:t>worse</w:t>
      </w:r>
      <w:r>
        <w:rPr>
          <w:spacing w:val="-2"/>
        </w:rPr>
        <w:t> </w:t>
      </w:r>
      <w:r>
        <w:rPr/>
        <w:t>than</w:t>
      </w:r>
      <w:r>
        <w:rPr>
          <w:spacing w:val="-2"/>
        </w:rPr>
        <w:t> </w:t>
      </w:r>
      <w:r>
        <w:rPr/>
        <w:t>the</w:t>
      </w:r>
      <w:r>
        <w:rPr>
          <w:spacing w:val="-2"/>
        </w:rPr>
        <w:t> </w:t>
      </w:r>
      <w:r>
        <w:rPr/>
        <w:t>recommended</w:t>
      </w:r>
      <w:r>
        <w:rPr>
          <w:spacing w:val="-2"/>
        </w:rPr>
        <w:t> </w:t>
      </w:r>
      <w:r>
        <w:rPr/>
        <w:t>strategy.</w:t>
      </w:r>
      <w:r>
        <w:rPr>
          <w:spacing w:val="-4"/>
        </w:rPr>
        <w:t> </w:t>
      </w:r>
      <w:r>
        <w:rPr/>
        <w:t>The</w:t>
      </w:r>
      <w:r>
        <w:rPr>
          <w:spacing w:val="-4"/>
        </w:rPr>
        <w:t> </w:t>
      </w:r>
      <w:r>
        <w:rPr/>
        <w:t>recommended strategy integrates</w:t>
      </w:r>
      <w:r>
        <w:rPr>
          <w:spacing w:val="-3"/>
        </w:rPr>
        <w:t> </w:t>
      </w:r>
      <w:r>
        <w:rPr/>
        <w:t>high bond elements</w:t>
      </w:r>
      <w:r>
        <w:rPr>
          <w:spacing w:val="-3"/>
        </w:rPr>
        <w:t> </w:t>
      </w:r>
      <w:r>
        <w:rPr/>
        <w:t>later, ensuring</w:t>
      </w:r>
      <w:r>
        <w:rPr>
          <w:spacing w:val="-5"/>
        </w:rPr>
        <w:t> </w:t>
      </w:r>
      <w:r>
        <w:rPr/>
        <w:t>stability</w:t>
      </w:r>
      <w:r>
        <w:rPr>
          <w:spacing w:val="-3"/>
        </w:rPr>
        <w:t> </w:t>
      </w:r>
      <w:r>
        <w:rPr/>
        <w:t>while balancing early growth and later shifts</w:t>
      </w:r>
      <w:r>
        <w:rPr>
          <w:spacing w:val="-1"/>
        </w:rPr>
        <w:t> </w:t>
      </w:r>
      <w:r>
        <w:rPr/>
        <w:t>into</w:t>
      </w:r>
      <w:r>
        <w:rPr>
          <w:spacing w:val="-6"/>
        </w:rPr>
        <w:t> </w:t>
      </w:r>
      <w:r>
        <w:rPr/>
        <w:t>liquidity, adapting over</w:t>
      </w:r>
      <w:r>
        <w:rPr>
          <w:spacing w:val="-1"/>
        </w:rPr>
        <w:t> </w:t>
      </w:r>
      <w:r>
        <w:rPr/>
        <w:t>time</w:t>
      </w:r>
      <w:r>
        <w:rPr>
          <w:spacing w:val="-1"/>
        </w:rPr>
        <w:t> </w:t>
      </w:r>
      <w:r>
        <w:rPr/>
        <w:t>to</w:t>
      </w:r>
      <w:r>
        <w:rPr>
          <w:spacing w:val="-8"/>
        </w:rPr>
        <w:t> </w:t>
      </w:r>
      <w:r>
        <w:rPr/>
        <w:t>meet</w:t>
      </w:r>
      <w:r>
        <w:rPr>
          <w:spacing w:val="-4"/>
        </w:rPr>
        <w:t> </w:t>
      </w:r>
      <w:r>
        <w:rPr/>
        <w:t>liabilities</w:t>
      </w:r>
      <w:r>
        <w:rPr>
          <w:spacing w:val="-9"/>
        </w:rPr>
        <w:t> </w:t>
      </w:r>
      <w:r>
        <w:rPr/>
        <w:t>without sacrificing</w:t>
      </w:r>
      <w:r>
        <w:rPr>
          <w:spacing w:val="-1"/>
        </w:rPr>
        <w:t> </w:t>
      </w:r>
      <w:r>
        <w:rPr/>
        <w:t>financial stability,</w:t>
      </w:r>
      <w:r>
        <w:rPr>
          <w:spacing w:val="-4"/>
        </w:rPr>
        <w:t> </w:t>
      </w:r>
      <w:r>
        <w:rPr/>
        <w:t>making</w:t>
      </w:r>
      <w:r>
        <w:rPr>
          <w:spacing w:val="-1"/>
        </w:rPr>
        <w:t> </w:t>
      </w:r>
      <w:r>
        <w:rPr/>
        <w:t>it the most resilient approach.</w:t>
      </w:r>
    </w:p>
    <w:p>
      <w:pPr>
        <w:pStyle w:val="BodyText"/>
        <w:spacing w:before="115"/>
      </w:pPr>
      <w:r>
        <w:rPr/>
        <w:drawing>
          <wp:anchor distT="0" distB="0" distL="0" distR="0" allowOverlap="1" layoutInCell="1" locked="0" behindDoc="1" simplePos="0" relativeHeight="487600128">
            <wp:simplePos x="0" y="0"/>
            <wp:positionH relativeFrom="page">
              <wp:posOffset>1503044</wp:posOffset>
            </wp:positionH>
            <wp:positionV relativeFrom="paragraph">
              <wp:posOffset>234323</wp:posOffset>
            </wp:positionV>
            <wp:extent cx="4539798" cy="2501646"/>
            <wp:effectExtent l="0" t="0" r="0" b="0"/>
            <wp:wrapTopAndBottom/>
            <wp:docPr id="53" name="Image 53" descr="A graph of growth and growth  AI-generated content may be incorrect."/>
            <wp:cNvGraphicFramePr>
              <a:graphicFrameLocks/>
            </wp:cNvGraphicFramePr>
            <a:graphic>
              <a:graphicData uri="http://schemas.openxmlformats.org/drawingml/2006/picture">
                <pic:pic>
                  <pic:nvPicPr>
                    <pic:cNvPr id="53" name="Image 53" descr="A graph of growth and growth  AI-generated content may be incorrect."/>
                    <pic:cNvPicPr/>
                  </pic:nvPicPr>
                  <pic:blipFill>
                    <a:blip r:embed="rId41" cstate="print"/>
                    <a:stretch>
                      <a:fillRect/>
                    </a:stretch>
                  </pic:blipFill>
                  <pic:spPr>
                    <a:xfrm>
                      <a:off x="0" y="0"/>
                      <a:ext cx="4539798" cy="2501646"/>
                    </a:xfrm>
                    <a:prstGeom prst="rect">
                      <a:avLst/>
                    </a:prstGeom>
                  </pic:spPr>
                </pic:pic>
              </a:graphicData>
            </a:graphic>
          </wp:anchor>
        </w:drawing>
      </w:r>
      <w:r>
        <w:rPr/>
        <w:drawing>
          <wp:anchor distT="0" distB="0" distL="0" distR="0" allowOverlap="1" layoutInCell="1" locked="0" behindDoc="1" simplePos="0" relativeHeight="487600640">
            <wp:simplePos x="0" y="0"/>
            <wp:positionH relativeFrom="page">
              <wp:posOffset>1612264</wp:posOffset>
            </wp:positionH>
            <wp:positionV relativeFrom="paragraph">
              <wp:posOffset>2957203</wp:posOffset>
            </wp:positionV>
            <wp:extent cx="4519869" cy="2253519"/>
            <wp:effectExtent l="0" t="0" r="0" b="0"/>
            <wp:wrapTopAndBottom/>
            <wp:docPr id="54" name="Image 54" descr="A graph showing the growth of a stock market  AI-generated content may be incorrect."/>
            <wp:cNvGraphicFramePr>
              <a:graphicFrameLocks/>
            </wp:cNvGraphicFramePr>
            <a:graphic>
              <a:graphicData uri="http://schemas.openxmlformats.org/drawingml/2006/picture">
                <pic:pic>
                  <pic:nvPicPr>
                    <pic:cNvPr id="54" name="Image 54" descr="A graph showing the growth of a stock market  AI-generated content may be incorrect."/>
                    <pic:cNvPicPr/>
                  </pic:nvPicPr>
                  <pic:blipFill>
                    <a:blip r:embed="rId42" cstate="print"/>
                    <a:stretch>
                      <a:fillRect/>
                    </a:stretch>
                  </pic:blipFill>
                  <pic:spPr>
                    <a:xfrm>
                      <a:off x="0" y="0"/>
                      <a:ext cx="4519869" cy="2253519"/>
                    </a:xfrm>
                    <a:prstGeom prst="rect">
                      <a:avLst/>
                    </a:prstGeom>
                  </pic:spPr>
                </pic:pic>
              </a:graphicData>
            </a:graphic>
          </wp:anchor>
        </w:drawing>
      </w:r>
      <w:r>
        <w:rPr/>
        <w:drawing>
          <wp:anchor distT="0" distB="0" distL="0" distR="0" allowOverlap="1" layoutInCell="1" locked="0" behindDoc="1" simplePos="0" relativeHeight="487601152">
            <wp:simplePos x="0" y="0"/>
            <wp:positionH relativeFrom="page">
              <wp:posOffset>1541144</wp:posOffset>
            </wp:positionH>
            <wp:positionV relativeFrom="paragraph">
              <wp:posOffset>5433043</wp:posOffset>
            </wp:positionV>
            <wp:extent cx="4400759" cy="2219801"/>
            <wp:effectExtent l="0" t="0" r="0" b="0"/>
            <wp:wrapTopAndBottom/>
            <wp:docPr id="55" name="Image 55" descr="A graph of a graph  AI-generated content may be incorrect."/>
            <wp:cNvGraphicFramePr>
              <a:graphicFrameLocks/>
            </wp:cNvGraphicFramePr>
            <a:graphic>
              <a:graphicData uri="http://schemas.openxmlformats.org/drawingml/2006/picture">
                <pic:pic>
                  <pic:nvPicPr>
                    <pic:cNvPr id="55" name="Image 55" descr="A graph of a graph  AI-generated content may be incorrect."/>
                    <pic:cNvPicPr/>
                  </pic:nvPicPr>
                  <pic:blipFill>
                    <a:blip r:embed="rId43" cstate="print"/>
                    <a:stretch>
                      <a:fillRect/>
                    </a:stretch>
                  </pic:blipFill>
                  <pic:spPr>
                    <a:xfrm>
                      <a:off x="0" y="0"/>
                      <a:ext cx="4400759" cy="2219801"/>
                    </a:xfrm>
                    <a:prstGeom prst="rect">
                      <a:avLst/>
                    </a:prstGeom>
                  </pic:spPr>
                </pic:pic>
              </a:graphicData>
            </a:graphic>
          </wp:anchor>
        </w:drawing>
      </w:r>
    </w:p>
    <w:p>
      <w:pPr>
        <w:pStyle w:val="BodyText"/>
        <w:spacing w:before="94"/>
      </w:pPr>
    </w:p>
    <w:p>
      <w:pPr>
        <w:pStyle w:val="BodyText"/>
        <w:spacing w:before="96"/>
      </w:pPr>
    </w:p>
    <w:p>
      <w:pPr>
        <w:spacing w:after="0"/>
        <w:sectPr>
          <w:pgSz w:w="11910" w:h="16840"/>
          <w:pgMar w:header="0" w:footer="714" w:top="360" w:bottom="900" w:left="240" w:right="1240"/>
        </w:sectPr>
      </w:pPr>
    </w:p>
    <w:p>
      <w:pPr>
        <w:pStyle w:val="BodyText"/>
        <w:rPr>
          <w:sz w:val="32"/>
        </w:rPr>
      </w:pPr>
    </w:p>
    <w:p>
      <w:pPr>
        <w:pStyle w:val="BodyText"/>
        <w:spacing w:before="285"/>
        <w:rPr>
          <w:sz w:val="32"/>
        </w:rPr>
      </w:pPr>
    </w:p>
    <w:p>
      <w:pPr>
        <w:pStyle w:val="Heading1"/>
        <w:ind w:left="0" w:right="606"/>
        <w:jc w:val="center"/>
      </w:pPr>
      <w:r>
        <w:rPr/>
        <mc:AlternateContent>
          <mc:Choice Requires="wps">
            <w:drawing>
              <wp:anchor distT="0" distB="0" distL="0" distR="0" allowOverlap="1" layoutInCell="1" locked="0" behindDoc="0" simplePos="0" relativeHeight="15742976">
                <wp:simplePos x="0" y="0"/>
                <wp:positionH relativeFrom="page">
                  <wp:posOffset>227965</wp:posOffset>
                </wp:positionH>
                <wp:positionV relativeFrom="paragraph">
                  <wp:posOffset>-654264</wp:posOffset>
                </wp:positionV>
                <wp:extent cx="1471930" cy="1022985"/>
                <wp:effectExtent l="0" t="0" r="0" b="0"/>
                <wp:wrapNone/>
                <wp:docPr id="56" name="Group 56"/>
                <wp:cNvGraphicFramePr>
                  <a:graphicFrameLocks/>
                </wp:cNvGraphicFramePr>
                <a:graphic>
                  <a:graphicData uri="http://schemas.microsoft.com/office/word/2010/wordprocessingGroup">
                    <wpg:wgp>
                      <wpg:cNvPr id="56" name="Group 56"/>
                      <wpg:cNvGrpSpPr/>
                      <wpg:grpSpPr>
                        <a:xfrm>
                          <a:off x="0" y="0"/>
                          <a:ext cx="1471930" cy="1022985"/>
                          <a:chExt cx="1471930" cy="1022985"/>
                        </a:xfrm>
                      </wpg:grpSpPr>
                      <pic:pic>
                        <pic:nvPicPr>
                          <pic:cNvPr id="57" name="Image 57"/>
                          <pic:cNvPicPr/>
                        </pic:nvPicPr>
                        <pic:blipFill>
                          <a:blip r:embed="rId26" cstate="print"/>
                          <a:stretch>
                            <a:fillRect/>
                          </a:stretch>
                        </pic:blipFill>
                        <pic:spPr>
                          <a:xfrm>
                            <a:off x="0" y="0"/>
                            <a:ext cx="1471930" cy="1022984"/>
                          </a:xfrm>
                          <a:prstGeom prst="rect">
                            <a:avLst/>
                          </a:prstGeom>
                        </pic:spPr>
                      </pic:pic>
                      <wps:wsp>
                        <wps:cNvPr id="58" name="Textbox 58"/>
                        <wps:cNvSpPr txBox="1"/>
                        <wps:spPr>
                          <a:xfrm>
                            <a:off x="0" y="0"/>
                            <a:ext cx="1471930" cy="1022985"/>
                          </a:xfrm>
                          <a:prstGeom prst="rect">
                            <a:avLst/>
                          </a:prstGeom>
                        </wps:spPr>
                        <wps:txbx>
                          <w:txbxContent>
                            <w:p>
                              <w:pPr>
                                <w:spacing w:line="240" w:lineRule="auto" w:before="0"/>
                                <w:rPr>
                                  <w:sz w:val="32"/>
                                </w:rPr>
                              </w:pPr>
                            </w:p>
                            <w:p>
                              <w:pPr>
                                <w:spacing w:line="240" w:lineRule="auto" w:before="318"/>
                                <w:rPr>
                                  <w:sz w:val="32"/>
                                </w:rPr>
                              </w:pPr>
                            </w:p>
                            <w:p>
                              <w:pPr>
                                <w:spacing w:before="0"/>
                                <w:ind w:left="1081" w:right="0" w:firstLine="0"/>
                                <w:jc w:val="left"/>
                                <w:rPr>
                                  <w:b/>
                                  <w:sz w:val="32"/>
                                </w:rPr>
                              </w:pPr>
                              <w:r>
                                <w:rPr>
                                  <w:b/>
                                  <w:color w:val="0D465F"/>
                                  <w:spacing w:val="-2"/>
                                  <w:sz w:val="32"/>
                                </w:rPr>
                                <w:t>Section</w:t>
                              </w:r>
                            </w:p>
                          </w:txbxContent>
                        </wps:txbx>
                        <wps:bodyPr wrap="square" lIns="0" tIns="0" rIns="0" bIns="0" rtlCol="0">
                          <a:noAutofit/>
                        </wps:bodyPr>
                      </wps:wsp>
                    </wpg:wgp>
                  </a:graphicData>
                </a:graphic>
              </wp:anchor>
            </w:drawing>
          </mc:Choice>
          <mc:Fallback>
            <w:pict>
              <v:group style="position:absolute;margin-left:17.950001pt;margin-top:-51.516876pt;width:115.9pt;height:80.55pt;mso-position-horizontal-relative:page;mso-position-vertical-relative:paragraph;z-index:15742976" id="docshapegroup11" coordorigin="359,-1030" coordsize="2318,1611">
                <v:shape style="position:absolute;left:359;top:-1031;width:2318;height:1611" type="#_x0000_t75" id="docshape12" stroked="false">
                  <v:imagedata r:id="rId26" o:title=""/>
                </v:shape>
                <v:shape style="position:absolute;left:359;top:-1031;width:2318;height:1611" type="#_x0000_t202" id="docshape13" filled="false" stroked="false">
                  <v:textbox inset="0,0,0,0">
                    <w:txbxContent>
                      <w:p>
                        <w:pPr>
                          <w:spacing w:line="240" w:lineRule="auto" w:before="0"/>
                          <w:rPr>
                            <w:sz w:val="32"/>
                          </w:rPr>
                        </w:pPr>
                      </w:p>
                      <w:p>
                        <w:pPr>
                          <w:spacing w:line="240" w:lineRule="auto" w:before="318"/>
                          <w:rPr>
                            <w:sz w:val="32"/>
                          </w:rPr>
                        </w:pPr>
                      </w:p>
                      <w:p>
                        <w:pPr>
                          <w:spacing w:before="0"/>
                          <w:ind w:left="1081" w:right="0" w:firstLine="0"/>
                          <w:jc w:val="left"/>
                          <w:rPr>
                            <w:b/>
                            <w:sz w:val="32"/>
                          </w:rPr>
                        </w:pPr>
                        <w:r>
                          <w:rPr>
                            <w:b/>
                            <w:color w:val="0D465F"/>
                            <w:spacing w:val="-2"/>
                            <w:sz w:val="32"/>
                          </w:rPr>
                          <w:t>Section</w:t>
                        </w:r>
                      </w:p>
                    </w:txbxContent>
                  </v:textbox>
                  <w10:wrap type="none"/>
                </v:shape>
                <w10:wrap type="none"/>
              </v:group>
            </w:pict>
          </mc:Fallback>
        </mc:AlternateContent>
      </w:r>
      <w:bookmarkStart w:name="6 – Limitations and Conclusions" w:id="9"/>
      <w:bookmarkEnd w:id="9"/>
      <w:r>
        <w:rPr>
          <w:b w:val="0"/>
        </w:rPr>
      </w:r>
      <w:r>
        <w:rPr>
          <w:color w:val="0D465F"/>
        </w:rPr>
        <w:t>6</w:t>
      </w:r>
      <w:r>
        <w:rPr>
          <w:color w:val="0D465F"/>
          <w:spacing w:val="-4"/>
        </w:rPr>
        <w:t> </w:t>
      </w:r>
      <w:r>
        <w:rPr>
          <w:color w:val="0D465F"/>
        </w:rPr>
        <w:t>–</w:t>
      </w:r>
      <w:r>
        <w:rPr>
          <w:color w:val="0D465F"/>
          <w:spacing w:val="-13"/>
        </w:rPr>
        <w:t> </w:t>
      </w:r>
      <w:r>
        <w:rPr>
          <w:color w:val="0D465F"/>
        </w:rPr>
        <w:t>Limitations</w:t>
      </w:r>
      <w:r>
        <w:rPr>
          <w:color w:val="0D465F"/>
          <w:spacing w:val="-11"/>
        </w:rPr>
        <w:t> </w:t>
      </w:r>
      <w:r>
        <w:rPr>
          <w:color w:val="0D465F"/>
        </w:rPr>
        <w:t>and</w:t>
      </w:r>
      <w:r>
        <w:rPr>
          <w:color w:val="0D465F"/>
          <w:spacing w:val="-6"/>
        </w:rPr>
        <w:t> </w:t>
      </w:r>
      <w:r>
        <w:rPr>
          <w:color w:val="0D465F"/>
          <w:spacing w:val="-2"/>
        </w:rPr>
        <w:t>Conclusions</w:t>
      </w:r>
    </w:p>
    <w:p>
      <w:pPr>
        <w:pStyle w:val="BodyText"/>
        <w:spacing w:line="278" w:lineRule="auto" w:before="148"/>
        <w:ind w:left="1200" w:right="269"/>
      </w:pPr>
      <w:r>
        <w:rPr/>
        <w:t>The</w:t>
      </w:r>
      <w:r>
        <w:rPr>
          <w:spacing w:val="-1"/>
        </w:rPr>
        <w:t> </w:t>
      </w:r>
      <w:r>
        <w:rPr/>
        <w:t>recommended</w:t>
      </w:r>
      <w:r>
        <w:rPr>
          <w:spacing w:val="-6"/>
        </w:rPr>
        <w:t> </w:t>
      </w:r>
      <w:r>
        <w:rPr/>
        <w:t>model relies</w:t>
      </w:r>
      <w:r>
        <w:rPr>
          <w:spacing w:val="-4"/>
        </w:rPr>
        <w:t> </w:t>
      </w:r>
      <w:r>
        <w:rPr/>
        <w:t>on</w:t>
      </w:r>
      <w:r>
        <w:rPr>
          <w:spacing w:val="-1"/>
        </w:rPr>
        <w:t> </w:t>
      </w:r>
      <w:r>
        <w:rPr/>
        <w:t>historical market data</w:t>
      </w:r>
      <w:r>
        <w:rPr>
          <w:spacing w:val="-1"/>
        </w:rPr>
        <w:t> </w:t>
      </w:r>
      <w:r>
        <w:rPr/>
        <w:t>and</w:t>
      </w:r>
      <w:r>
        <w:rPr>
          <w:spacing w:val="-1"/>
        </w:rPr>
        <w:t> </w:t>
      </w:r>
      <w:r>
        <w:rPr/>
        <w:t>deterministic projections, which</w:t>
      </w:r>
      <w:r>
        <w:rPr>
          <w:spacing w:val="-1"/>
        </w:rPr>
        <w:t> </w:t>
      </w:r>
      <w:r>
        <w:rPr/>
        <w:t>do</w:t>
      </w:r>
      <w:r>
        <w:rPr>
          <w:spacing w:val="-1"/>
        </w:rPr>
        <w:t> </w:t>
      </w:r>
      <w:r>
        <w:rPr/>
        <w:t>not fully capture realistic market behaviours or account for stochastic market fluctuations. The model's assumptions</w:t>
      </w:r>
      <w:r>
        <w:rPr>
          <w:spacing w:val="-10"/>
        </w:rPr>
        <w:t> </w:t>
      </w:r>
      <w:r>
        <w:rPr/>
        <w:t>are</w:t>
      </w:r>
      <w:r>
        <w:rPr>
          <w:spacing w:val="-8"/>
        </w:rPr>
        <w:t> </w:t>
      </w:r>
      <w:r>
        <w:rPr/>
        <w:t>also</w:t>
      </w:r>
      <w:r>
        <w:rPr>
          <w:spacing w:val="-4"/>
        </w:rPr>
        <w:t> </w:t>
      </w:r>
      <w:r>
        <w:rPr/>
        <w:t>simplistic</w:t>
      </w:r>
      <w:r>
        <w:rPr>
          <w:spacing w:val="-5"/>
        </w:rPr>
        <w:t> </w:t>
      </w:r>
      <w:r>
        <w:rPr/>
        <w:t>and</w:t>
      </w:r>
      <w:r>
        <w:rPr>
          <w:spacing w:val="-4"/>
        </w:rPr>
        <w:t> </w:t>
      </w:r>
      <w:r>
        <w:rPr/>
        <w:t>based</w:t>
      </w:r>
      <w:r>
        <w:rPr>
          <w:spacing w:val="-8"/>
        </w:rPr>
        <w:t> </w:t>
      </w:r>
      <w:r>
        <w:rPr/>
        <w:t>on</w:t>
      </w:r>
      <w:r>
        <w:rPr>
          <w:spacing w:val="-8"/>
        </w:rPr>
        <w:t> </w:t>
      </w:r>
      <w:r>
        <w:rPr/>
        <w:t>past</w:t>
      </w:r>
      <w:r>
        <w:rPr>
          <w:spacing w:val="-1"/>
        </w:rPr>
        <w:t> </w:t>
      </w:r>
      <w:r>
        <w:rPr/>
        <w:t>trends, which</w:t>
      </w:r>
      <w:r>
        <w:rPr>
          <w:spacing w:val="-8"/>
        </w:rPr>
        <w:t> </w:t>
      </w:r>
      <w:r>
        <w:rPr/>
        <w:t>may</w:t>
      </w:r>
      <w:r>
        <w:rPr>
          <w:spacing w:val="-6"/>
        </w:rPr>
        <w:t> </w:t>
      </w:r>
      <w:r>
        <w:rPr/>
        <w:t>not</w:t>
      </w:r>
      <w:r>
        <w:rPr>
          <w:spacing w:val="-1"/>
        </w:rPr>
        <w:t> </w:t>
      </w:r>
      <w:r>
        <w:rPr/>
        <w:t>represent</w:t>
      </w:r>
      <w:r>
        <w:rPr>
          <w:spacing w:val="-9"/>
        </w:rPr>
        <w:t> </w:t>
      </w:r>
      <w:r>
        <w:rPr/>
        <w:t>future</w:t>
      </w:r>
      <w:r>
        <w:rPr>
          <w:spacing w:val="-7"/>
        </w:rPr>
        <w:t> </w:t>
      </w:r>
      <w:r>
        <w:rPr/>
        <w:t>conditions. Any significant deviation from these assumptions could lead to material impacts on financial estimates, potentially causing the asset portfolio to face liquidity constraints or funding shortfalls.</w:t>
      </w:r>
    </w:p>
    <w:p>
      <w:pPr>
        <w:pStyle w:val="BodyText"/>
        <w:spacing w:line="280" w:lineRule="auto" w:before="6"/>
        <w:ind w:left="1200"/>
      </w:pPr>
      <w:r>
        <w:rPr/>
        <w:t>Therefore,</w:t>
      </w:r>
      <w:r>
        <w:rPr>
          <w:spacing w:val="-8"/>
        </w:rPr>
        <w:t> </w:t>
      </w:r>
      <w:r>
        <w:rPr/>
        <w:t>it</w:t>
      </w:r>
      <w:r>
        <w:rPr>
          <w:spacing w:val="-13"/>
        </w:rPr>
        <w:t> </w:t>
      </w:r>
      <w:r>
        <w:rPr/>
        <w:t>is</w:t>
      </w:r>
      <w:r>
        <w:rPr>
          <w:spacing w:val="-10"/>
        </w:rPr>
        <w:t> </w:t>
      </w:r>
      <w:r>
        <w:rPr/>
        <w:t>crucial</w:t>
      </w:r>
      <w:r>
        <w:rPr>
          <w:spacing w:val="-1"/>
        </w:rPr>
        <w:t> </w:t>
      </w:r>
      <w:r>
        <w:rPr/>
        <w:t>to</w:t>
      </w:r>
      <w:r>
        <w:rPr>
          <w:spacing w:val="-2"/>
        </w:rPr>
        <w:t> </w:t>
      </w:r>
      <w:r>
        <w:rPr/>
        <w:t>exercise</w:t>
      </w:r>
      <w:r>
        <w:rPr>
          <w:spacing w:val="-1"/>
        </w:rPr>
        <w:t> </w:t>
      </w:r>
      <w:r>
        <w:rPr/>
        <w:t>caution</w:t>
      </w:r>
      <w:r>
        <w:rPr>
          <w:spacing w:val="-2"/>
        </w:rPr>
        <w:t> </w:t>
      </w:r>
      <w:r>
        <w:rPr/>
        <w:t>when</w:t>
      </w:r>
      <w:r>
        <w:rPr>
          <w:spacing w:val="-2"/>
        </w:rPr>
        <w:t> </w:t>
      </w:r>
      <w:r>
        <w:rPr/>
        <w:t>relying</w:t>
      </w:r>
      <w:r>
        <w:rPr>
          <w:spacing w:val="-11"/>
        </w:rPr>
        <w:t> </w:t>
      </w:r>
      <w:r>
        <w:rPr/>
        <w:t>on</w:t>
      </w:r>
      <w:r>
        <w:rPr>
          <w:spacing w:val="-2"/>
        </w:rPr>
        <w:t> </w:t>
      </w:r>
      <w:r>
        <w:rPr/>
        <w:t>these</w:t>
      </w:r>
      <w:r>
        <w:rPr>
          <w:spacing w:val="-2"/>
        </w:rPr>
        <w:t> </w:t>
      </w:r>
      <w:r>
        <w:rPr/>
        <w:t>assumptions, as</w:t>
      </w:r>
      <w:r>
        <w:rPr>
          <w:spacing w:val="-9"/>
        </w:rPr>
        <w:t> </w:t>
      </w:r>
      <w:r>
        <w:rPr/>
        <w:t>they</w:t>
      </w:r>
      <w:r>
        <w:rPr>
          <w:spacing w:val="-10"/>
        </w:rPr>
        <w:t> </w:t>
      </w:r>
      <w:r>
        <w:rPr/>
        <w:t>may</w:t>
      </w:r>
      <w:r>
        <w:rPr>
          <w:spacing w:val="-1"/>
        </w:rPr>
        <w:t> </w:t>
      </w:r>
      <w:r>
        <w:rPr/>
        <w:t>not</w:t>
      </w:r>
      <w:r>
        <w:rPr>
          <w:spacing w:val="-3"/>
        </w:rPr>
        <w:t> </w:t>
      </w:r>
      <w:r>
        <w:rPr/>
        <w:t>always </w:t>
      </w:r>
      <w:r>
        <w:rPr>
          <w:spacing w:val="-2"/>
        </w:rPr>
        <w:t>hold.</w:t>
      </w:r>
    </w:p>
    <w:p>
      <w:pPr>
        <w:pStyle w:val="BodyText"/>
        <w:spacing w:line="278" w:lineRule="auto" w:before="148"/>
        <w:ind w:left="1200" w:right="269"/>
      </w:pPr>
      <w:r>
        <w:rPr/>
        <w:t>To</w:t>
      </w:r>
      <w:r>
        <w:rPr>
          <w:spacing w:val="-11"/>
        </w:rPr>
        <w:t> </w:t>
      </w:r>
      <w:r>
        <w:rPr/>
        <w:t>mitigate,</w:t>
      </w:r>
      <w:r>
        <w:rPr>
          <w:spacing w:val="-2"/>
        </w:rPr>
        <w:t> </w:t>
      </w:r>
      <w:r>
        <w:rPr/>
        <w:t>the</w:t>
      </w:r>
      <w:r>
        <w:rPr>
          <w:spacing w:val="-6"/>
        </w:rPr>
        <w:t> </w:t>
      </w:r>
      <w:r>
        <w:rPr/>
        <w:t>Board</w:t>
      </w:r>
      <w:r>
        <w:rPr>
          <w:spacing w:val="-1"/>
        </w:rPr>
        <w:t> </w:t>
      </w:r>
      <w:r>
        <w:rPr/>
        <w:t>should</w:t>
      </w:r>
      <w:r>
        <w:rPr>
          <w:spacing w:val="-5"/>
        </w:rPr>
        <w:t> </w:t>
      </w:r>
      <w:r>
        <w:rPr/>
        <w:t>implement periodic</w:t>
      </w:r>
      <w:r>
        <w:rPr>
          <w:spacing w:val="-2"/>
        </w:rPr>
        <w:t> </w:t>
      </w:r>
      <w:r>
        <w:rPr/>
        <w:t>reviews</w:t>
      </w:r>
      <w:r>
        <w:rPr>
          <w:spacing w:val="-4"/>
        </w:rPr>
        <w:t> </w:t>
      </w:r>
      <w:r>
        <w:rPr/>
        <w:t>to</w:t>
      </w:r>
      <w:r>
        <w:rPr>
          <w:spacing w:val="-1"/>
        </w:rPr>
        <w:t> </w:t>
      </w:r>
      <w:r>
        <w:rPr/>
        <w:t>rebalance</w:t>
      </w:r>
      <w:r>
        <w:rPr>
          <w:spacing w:val="-1"/>
        </w:rPr>
        <w:t> </w:t>
      </w:r>
      <w:r>
        <w:rPr/>
        <w:t>the</w:t>
      </w:r>
      <w:r>
        <w:rPr>
          <w:spacing w:val="-6"/>
        </w:rPr>
        <w:t> </w:t>
      </w:r>
      <w:r>
        <w:rPr/>
        <w:t>portfolio</w:t>
      </w:r>
      <w:r>
        <w:rPr>
          <w:spacing w:val="-5"/>
        </w:rPr>
        <w:t> </w:t>
      </w:r>
      <w:r>
        <w:rPr/>
        <w:t>in</w:t>
      </w:r>
      <w:r>
        <w:rPr>
          <w:spacing w:val="-6"/>
        </w:rPr>
        <w:t> </w:t>
      </w:r>
      <w:r>
        <w:rPr/>
        <w:t>response</w:t>
      </w:r>
      <w:r>
        <w:rPr>
          <w:spacing w:val="-1"/>
        </w:rPr>
        <w:t> </w:t>
      </w:r>
      <w:r>
        <w:rPr/>
        <w:t>to evolving</w:t>
      </w:r>
      <w:r>
        <w:rPr>
          <w:spacing w:val="-6"/>
        </w:rPr>
        <w:t> </w:t>
      </w:r>
      <w:r>
        <w:rPr/>
        <w:t>market conditions. Regular stress testing and maintaining a</w:t>
      </w:r>
      <w:r>
        <w:rPr>
          <w:spacing w:val="-1"/>
        </w:rPr>
        <w:t> </w:t>
      </w:r>
      <w:r>
        <w:rPr/>
        <w:t>liquidity buffer, as</w:t>
      </w:r>
      <w:r>
        <w:rPr>
          <w:spacing w:val="-2"/>
        </w:rPr>
        <w:t> </w:t>
      </w:r>
      <w:r>
        <w:rPr/>
        <w:t>modelled, would</w:t>
      </w:r>
      <w:r>
        <w:rPr>
          <w:spacing w:val="-3"/>
        </w:rPr>
        <w:t> </w:t>
      </w:r>
      <w:r>
        <w:rPr/>
        <w:t>serve</w:t>
      </w:r>
      <w:r>
        <w:rPr>
          <w:spacing w:val="-8"/>
        </w:rPr>
        <w:t> </w:t>
      </w:r>
      <w:r>
        <w:rPr/>
        <w:t>as</w:t>
      </w:r>
      <w:r>
        <w:rPr>
          <w:spacing w:val="-11"/>
        </w:rPr>
        <w:t> </w:t>
      </w:r>
      <w:r>
        <w:rPr/>
        <w:t>essential</w:t>
      </w:r>
      <w:r>
        <w:rPr>
          <w:spacing w:val="-4"/>
        </w:rPr>
        <w:t> </w:t>
      </w:r>
      <w:r>
        <w:rPr/>
        <w:t>safeguards</w:t>
      </w:r>
      <w:r>
        <w:rPr>
          <w:spacing w:val="-11"/>
        </w:rPr>
        <w:t> </w:t>
      </w:r>
      <w:r>
        <w:rPr/>
        <w:t>against</w:t>
      </w:r>
      <w:r>
        <w:rPr>
          <w:spacing w:val="-1"/>
        </w:rPr>
        <w:t> </w:t>
      </w:r>
      <w:r>
        <w:rPr/>
        <w:t>unexpected</w:t>
      </w:r>
      <w:r>
        <w:rPr>
          <w:spacing w:val="-7"/>
        </w:rPr>
        <w:t> </w:t>
      </w:r>
      <w:r>
        <w:rPr/>
        <w:t>downturns.</w:t>
      </w:r>
      <w:r>
        <w:rPr>
          <w:spacing w:val="-1"/>
        </w:rPr>
        <w:t> </w:t>
      </w:r>
      <w:r>
        <w:rPr/>
        <w:t>Given</w:t>
      </w:r>
      <w:r>
        <w:rPr>
          <w:spacing w:val="-11"/>
        </w:rPr>
        <w:t> </w:t>
      </w:r>
      <w:r>
        <w:rPr/>
        <w:t>that</w:t>
      </w:r>
      <w:r>
        <w:rPr>
          <w:spacing w:val="-9"/>
        </w:rPr>
        <w:t> </w:t>
      </w:r>
      <w:r>
        <w:rPr/>
        <w:t>the</w:t>
      </w:r>
      <w:r>
        <w:rPr>
          <w:spacing w:val="-8"/>
        </w:rPr>
        <w:t> </w:t>
      </w:r>
      <w:r>
        <w:rPr/>
        <w:t>recommended model relies heavily on bond reinvestments, the Board should closely monitor the interest-rate environment and consider inflation-protected securities where necessary.</w:t>
      </w:r>
    </w:p>
    <w:p>
      <w:pPr>
        <w:pStyle w:val="BodyText"/>
        <w:spacing w:line="276" w:lineRule="auto" w:before="159"/>
        <w:ind w:left="1200" w:right="269"/>
      </w:pPr>
      <w:r>
        <w:rPr/>
        <w:t>In</w:t>
      </w:r>
      <w:r>
        <w:rPr>
          <w:spacing w:val="-9"/>
        </w:rPr>
        <w:t> </w:t>
      </w:r>
      <w:r>
        <w:rPr/>
        <w:t>conclusion,</w:t>
      </w:r>
      <w:r>
        <w:rPr>
          <w:spacing w:val="-9"/>
        </w:rPr>
        <w:t> </w:t>
      </w:r>
      <w:r>
        <w:rPr/>
        <w:t>the</w:t>
      </w:r>
      <w:r>
        <w:rPr>
          <w:spacing w:val="-8"/>
        </w:rPr>
        <w:t> </w:t>
      </w:r>
      <w:r>
        <w:rPr/>
        <w:t>recommended</w:t>
      </w:r>
      <w:r>
        <w:rPr>
          <w:spacing w:val="-7"/>
        </w:rPr>
        <w:t> </w:t>
      </w:r>
      <w:r>
        <w:rPr/>
        <w:t>asset portfolio</w:t>
      </w:r>
      <w:r>
        <w:rPr>
          <w:spacing w:val="-7"/>
        </w:rPr>
        <w:t> </w:t>
      </w:r>
      <w:r>
        <w:rPr/>
        <w:t>begins</w:t>
      </w:r>
      <w:r>
        <w:rPr>
          <w:spacing w:val="-14"/>
        </w:rPr>
        <w:t> </w:t>
      </w:r>
      <w:r>
        <w:rPr/>
        <w:t>with</w:t>
      </w:r>
      <w:r>
        <w:rPr>
          <w:spacing w:val="-7"/>
        </w:rPr>
        <w:t> </w:t>
      </w:r>
      <w:r>
        <w:rPr/>
        <w:t>45%</w:t>
      </w:r>
      <w:r>
        <w:rPr>
          <w:spacing w:val="-8"/>
        </w:rPr>
        <w:t> </w:t>
      </w:r>
      <w:r>
        <w:rPr/>
        <w:t>government</w:t>
      </w:r>
      <w:r>
        <w:rPr>
          <w:spacing w:val="-4"/>
        </w:rPr>
        <w:t> </w:t>
      </w:r>
      <w:r>
        <w:rPr/>
        <w:t>bonds, 35%</w:t>
      </w:r>
      <w:r>
        <w:rPr>
          <w:spacing w:val="-8"/>
        </w:rPr>
        <w:t> </w:t>
      </w:r>
      <w:r>
        <w:rPr/>
        <w:t>equities, and 20% bank bills, gradually shifting towards higher fixed-income and liquidity assets to ensure stability as aged care costs increase. With ongoing monitoring, stress testing, and proactive risk management, the strategy will help AAG maintain long-term financial sustainability and meet its liabilities for the next 30 years.</w:t>
      </w:r>
    </w:p>
    <w:p>
      <w:pPr>
        <w:pStyle w:val="BodyText"/>
      </w:pPr>
    </w:p>
    <w:p>
      <w:pPr>
        <w:pStyle w:val="BodyText"/>
        <w:spacing w:before="192"/>
      </w:pPr>
    </w:p>
    <w:p>
      <w:pPr>
        <w:spacing w:before="0"/>
        <w:ind w:left="1200" w:right="0" w:firstLine="0"/>
        <w:jc w:val="left"/>
        <w:rPr>
          <w:i/>
          <w:sz w:val="24"/>
        </w:rPr>
      </w:pPr>
      <w:r>
        <w:rPr>
          <w:i/>
          <w:color w:val="0D465F"/>
          <w:spacing w:val="-2"/>
          <w:sz w:val="24"/>
        </w:rPr>
        <w:t>References</w:t>
      </w:r>
    </w:p>
    <w:p>
      <w:pPr>
        <w:spacing w:before="199"/>
        <w:ind w:left="1200" w:right="0" w:firstLine="0"/>
        <w:jc w:val="left"/>
        <w:rPr>
          <w:i/>
          <w:sz w:val="20"/>
        </w:rPr>
      </w:pPr>
      <w:r>
        <w:rPr>
          <w:color w:val="747474"/>
          <w:spacing w:val="-2"/>
          <w:sz w:val="20"/>
        </w:rPr>
        <w:t>Australian</w:t>
      </w:r>
      <w:r>
        <w:rPr>
          <w:color w:val="747474"/>
          <w:spacing w:val="-8"/>
          <w:sz w:val="20"/>
        </w:rPr>
        <w:t> </w:t>
      </w:r>
      <w:r>
        <w:rPr>
          <w:color w:val="747474"/>
          <w:spacing w:val="-2"/>
          <w:sz w:val="20"/>
        </w:rPr>
        <w:t>Government</w:t>
      </w:r>
      <w:r>
        <w:rPr>
          <w:color w:val="747474"/>
          <w:spacing w:val="1"/>
          <w:sz w:val="20"/>
        </w:rPr>
        <w:t> </w:t>
      </w:r>
      <w:r>
        <w:rPr>
          <w:color w:val="747474"/>
          <w:spacing w:val="-2"/>
          <w:sz w:val="20"/>
        </w:rPr>
        <w:t>Actuary</w:t>
      </w:r>
      <w:r>
        <w:rPr>
          <w:color w:val="747474"/>
          <w:spacing w:val="-7"/>
          <w:sz w:val="20"/>
        </w:rPr>
        <w:t> </w:t>
      </w:r>
      <w:r>
        <w:rPr>
          <w:color w:val="747474"/>
          <w:spacing w:val="-2"/>
          <w:sz w:val="20"/>
        </w:rPr>
        <w:t>(2024)</w:t>
      </w:r>
      <w:r>
        <w:rPr>
          <w:color w:val="747474"/>
          <w:spacing w:val="4"/>
          <w:sz w:val="20"/>
        </w:rPr>
        <w:t> </w:t>
      </w:r>
      <w:r>
        <w:rPr>
          <w:i/>
          <w:color w:val="747474"/>
          <w:spacing w:val="-2"/>
          <w:sz w:val="20"/>
        </w:rPr>
        <w:t>Australian Life</w:t>
      </w:r>
      <w:r>
        <w:rPr>
          <w:i/>
          <w:color w:val="747474"/>
          <w:spacing w:val="-9"/>
          <w:sz w:val="20"/>
        </w:rPr>
        <w:t> </w:t>
      </w:r>
      <w:r>
        <w:rPr>
          <w:i/>
          <w:color w:val="747474"/>
          <w:spacing w:val="-2"/>
          <w:sz w:val="20"/>
        </w:rPr>
        <w:t>Tables</w:t>
      </w:r>
      <w:r>
        <w:rPr>
          <w:i/>
          <w:color w:val="747474"/>
          <w:spacing w:val="4"/>
          <w:sz w:val="20"/>
        </w:rPr>
        <w:t> </w:t>
      </w:r>
      <w:r>
        <w:rPr>
          <w:i/>
          <w:color w:val="747474"/>
          <w:spacing w:val="-2"/>
          <w:sz w:val="20"/>
        </w:rPr>
        <w:t>2020-22</w:t>
      </w:r>
      <w:r>
        <w:rPr>
          <w:color w:val="747474"/>
          <w:spacing w:val="-2"/>
          <w:sz w:val="20"/>
        </w:rPr>
        <w:t>,</w:t>
      </w:r>
      <w:r>
        <w:rPr>
          <w:color w:val="747474"/>
          <w:spacing w:val="5"/>
          <w:sz w:val="20"/>
        </w:rPr>
        <w:t> </w:t>
      </w:r>
      <w:r>
        <w:rPr>
          <w:i/>
          <w:color w:val="747474"/>
          <w:spacing w:val="-2"/>
          <w:sz w:val="20"/>
        </w:rPr>
        <w:t>Australian</w:t>
      </w:r>
      <w:r>
        <w:rPr>
          <w:i/>
          <w:color w:val="747474"/>
          <w:spacing w:val="-3"/>
          <w:sz w:val="20"/>
        </w:rPr>
        <w:t> </w:t>
      </w:r>
      <w:r>
        <w:rPr>
          <w:i/>
          <w:color w:val="747474"/>
          <w:spacing w:val="-2"/>
          <w:sz w:val="20"/>
        </w:rPr>
        <w:t>Life Tables</w:t>
      </w:r>
      <w:r>
        <w:rPr>
          <w:i/>
          <w:color w:val="747474"/>
          <w:spacing w:val="4"/>
          <w:sz w:val="20"/>
        </w:rPr>
        <w:t> </w:t>
      </w:r>
      <w:r>
        <w:rPr>
          <w:i/>
          <w:color w:val="747474"/>
          <w:spacing w:val="-2"/>
          <w:sz w:val="20"/>
        </w:rPr>
        <w:t>2020-</w:t>
      </w:r>
      <w:r>
        <w:rPr>
          <w:i/>
          <w:color w:val="747474"/>
          <w:spacing w:val="-5"/>
          <w:sz w:val="20"/>
        </w:rPr>
        <w:t>22</w:t>
      </w:r>
    </w:p>
    <w:p>
      <w:pPr>
        <w:spacing w:line="249" w:lineRule="auto" w:before="0"/>
        <w:ind w:left="1757" w:right="1471" w:firstLine="0"/>
        <w:jc w:val="left"/>
        <w:rPr>
          <w:sz w:val="20"/>
        </w:rPr>
      </w:pPr>
      <w:r>
        <w:rPr>
          <w:i/>
          <w:color w:val="747474"/>
          <w:sz w:val="20"/>
        </w:rPr>
        <w:t>|</w:t>
      </w:r>
      <w:r>
        <w:rPr>
          <w:i/>
          <w:color w:val="747474"/>
          <w:spacing w:val="-10"/>
          <w:sz w:val="20"/>
        </w:rPr>
        <w:t> </w:t>
      </w:r>
      <w:r>
        <w:rPr>
          <w:i/>
          <w:color w:val="747474"/>
          <w:sz w:val="20"/>
        </w:rPr>
        <w:t>Australian</w:t>
      </w:r>
      <w:r>
        <w:rPr>
          <w:i/>
          <w:color w:val="747474"/>
          <w:spacing w:val="-10"/>
          <w:sz w:val="20"/>
        </w:rPr>
        <w:t> </w:t>
      </w:r>
      <w:r>
        <w:rPr>
          <w:i/>
          <w:color w:val="747474"/>
          <w:sz w:val="20"/>
        </w:rPr>
        <w:t>Government</w:t>
      </w:r>
      <w:r>
        <w:rPr>
          <w:i/>
          <w:color w:val="747474"/>
          <w:spacing w:val="-8"/>
          <w:sz w:val="20"/>
        </w:rPr>
        <w:t> </w:t>
      </w:r>
      <w:r>
        <w:rPr>
          <w:i/>
          <w:color w:val="747474"/>
          <w:sz w:val="20"/>
        </w:rPr>
        <w:t>Actuary</w:t>
      </w:r>
      <w:r>
        <w:rPr>
          <w:color w:val="747474"/>
          <w:sz w:val="20"/>
        </w:rPr>
        <w:t>.</w:t>
      </w:r>
      <w:r>
        <w:rPr>
          <w:color w:val="747474"/>
          <w:spacing w:val="-13"/>
          <w:sz w:val="20"/>
        </w:rPr>
        <w:t> </w:t>
      </w:r>
      <w:r>
        <w:rPr>
          <w:color w:val="747474"/>
          <w:sz w:val="20"/>
        </w:rPr>
        <w:t>Available</w:t>
      </w:r>
      <w:r>
        <w:rPr>
          <w:color w:val="747474"/>
          <w:spacing w:val="-14"/>
          <w:sz w:val="20"/>
        </w:rPr>
        <w:t> </w:t>
      </w:r>
      <w:r>
        <w:rPr>
          <w:color w:val="747474"/>
          <w:sz w:val="20"/>
        </w:rPr>
        <w:t>at:</w:t>
      </w:r>
      <w:r>
        <w:rPr>
          <w:color w:val="747474"/>
          <w:spacing w:val="-8"/>
          <w:sz w:val="20"/>
        </w:rPr>
        <w:t> </w:t>
      </w:r>
      <w:hyperlink r:id="rId44">
        <w:r>
          <w:rPr>
            <w:color w:val="747474"/>
            <w:sz w:val="20"/>
            <w:u w:val="single" w:color="747474"/>
          </w:rPr>
          <w:t>https://aga.gov.au/publications/life-</w:t>
        </w:r>
      </w:hyperlink>
      <w:r>
        <w:rPr>
          <w:color w:val="747474"/>
          <w:sz w:val="20"/>
          <w:u w:val="none"/>
        </w:rPr>
        <w:t> </w:t>
      </w:r>
      <w:hyperlink r:id="rId44">
        <w:r>
          <w:rPr>
            <w:color w:val="747474"/>
            <w:sz w:val="20"/>
            <w:u w:val="single" w:color="747474"/>
          </w:rPr>
          <w:t>tables/australian-life-tables-2020-22</w:t>
        </w:r>
      </w:hyperlink>
      <w:r>
        <w:rPr>
          <w:color w:val="747474"/>
          <w:sz w:val="20"/>
          <w:u w:val="none"/>
        </w:rPr>
        <w:t> (Accessed: 04 March 2025).</w:t>
      </w:r>
    </w:p>
    <w:p>
      <w:pPr>
        <w:spacing w:line="244" w:lineRule="auto" w:before="208"/>
        <w:ind w:left="1757" w:right="648" w:hanging="558"/>
        <w:jc w:val="left"/>
        <w:rPr>
          <w:sz w:val="20"/>
        </w:rPr>
      </w:pPr>
      <w:r>
        <w:rPr>
          <w:color w:val="747474"/>
          <w:sz w:val="20"/>
        </w:rPr>
        <w:t>Australian</w:t>
      </w:r>
      <w:r>
        <w:rPr>
          <w:color w:val="747474"/>
          <w:spacing w:val="-12"/>
          <w:sz w:val="20"/>
        </w:rPr>
        <w:t> </w:t>
      </w:r>
      <w:r>
        <w:rPr>
          <w:color w:val="747474"/>
          <w:sz w:val="20"/>
        </w:rPr>
        <w:t>Government Department</w:t>
      </w:r>
      <w:r>
        <w:rPr>
          <w:color w:val="747474"/>
          <w:spacing w:val="-5"/>
          <w:sz w:val="20"/>
        </w:rPr>
        <w:t> </w:t>
      </w:r>
      <w:r>
        <w:rPr>
          <w:color w:val="747474"/>
          <w:sz w:val="20"/>
        </w:rPr>
        <w:t>of Health</w:t>
      </w:r>
      <w:r>
        <w:rPr>
          <w:color w:val="747474"/>
          <w:spacing w:val="-5"/>
          <w:sz w:val="20"/>
        </w:rPr>
        <w:t> </w:t>
      </w:r>
      <w:r>
        <w:rPr>
          <w:color w:val="747474"/>
          <w:sz w:val="20"/>
        </w:rPr>
        <w:t>and</w:t>
      </w:r>
      <w:r>
        <w:rPr>
          <w:color w:val="747474"/>
          <w:spacing w:val="-8"/>
          <w:sz w:val="20"/>
        </w:rPr>
        <w:t> </w:t>
      </w:r>
      <w:r>
        <w:rPr>
          <w:color w:val="747474"/>
          <w:sz w:val="20"/>
        </w:rPr>
        <w:t>Aged</w:t>
      </w:r>
      <w:r>
        <w:rPr>
          <w:color w:val="747474"/>
          <w:spacing w:val="-8"/>
          <w:sz w:val="20"/>
        </w:rPr>
        <w:t> </w:t>
      </w:r>
      <w:r>
        <w:rPr>
          <w:color w:val="747474"/>
          <w:sz w:val="20"/>
        </w:rPr>
        <w:t>Care</w:t>
      </w:r>
      <w:r>
        <w:rPr>
          <w:color w:val="747474"/>
          <w:spacing w:val="-7"/>
          <w:sz w:val="20"/>
        </w:rPr>
        <w:t> </w:t>
      </w:r>
      <w:r>
        <w:rPr>
          <w:color w:val="747474"/>
          <w:sz w:val="20"/>
        </w:rPr>
        <w:t>(2024)</w:t>
      </w:r>
      <w:r>
        <w:rPr>
          <w:color w:val="747474"/>
          <w:spacing w:val="-2"/>
          <w:sz w:val="20"/>
        </w:rPr>
        <w:t> </w:t>
      </w:r>
      <w:r>
        <w:rPr>
          <w:i/>
          <w:color w:val="747474"/>
          <w:sz w:val="20"/>
        </w:rPr>
        <w:t>Final</w:t>
      </w:r>
      <w:r>
        <w:rPr>
          <w:i/>
          <w:color w:val="747474"/>
          <w:spacing w:val="-7"/>
          <w:sz w:val="20"/>
        </w:rPr>
        <w:t> </w:t>
      </w:r>
      <w:r>
        <w:rPr>
          <w:i/>
          <w:color w:val="747474"/>
          <w:sz w:val="20"/>
        </w:rPr>
        <w:t>report of</w:t>
      </w:r>
      <w:r>
        <w:rPr>
          <w:i/>
          <w:color w:val="747474"/>
          <w:spacing w:val="-5"/>
          <w:sz w:val="20"/>
        </w:rPr>
        <w:t> </w:t>
      </w:r>
      <w:r>
        <w:rPr>
          <w:i/>
          <w:color w:val="747474"/>
          <w:sz w:val="20"/>
        </w:rPr>
        <w:t>the</w:t>
      </w:r>
      <w:r>
        <w:rPr>
          <w:i/>
          <w:color w:val="747474"/>
          <w:spacing w:val="-8"/>
          <w:sz w:val="20"/>
        </w:rPr>
        <w:t> </w:t>
      </w:r>
      <w:r>
        <w:rPr>
          <w:i/>
          <w:color w:val="747474"/>
          <w:sz w:val="20"/>
        </w:rPr>
        <w:t>aged</w:t>
      </w:r>
      <w:r>
        <w:rPr>
          <w:i/>
          <w:color w:val="747474"/>
          <w:spacing w:val="-8"/>
          <w:sz w:val="20"/>
        </w:rPr>
        <w:t> </w:t>
      </w:r>
      <w:r>
        <w:rPr>
          <w:i/>
          <w:color w:val="747474"/>
          <w:sz w:val="20"/>
        </w:rPr>
        <w:t>care</w:t>
      </w:r>
      <w:r>
        <w:rPr>
          <w:i/>
          <w:color w:val="747474"/>
          <w:sz w:val="20"/>
        </w:rPr>
        <w:t> taskforce</w:t>
      </w:r>
      <w:r>
        <w:rPr>
          <w:color w:val="747474"/>
          <w:sz w:val="20"/>
        </w:rPr>
        <w:t>, </w:t>
      </w:r>
      <w:r>
        <w:rPr>
          <w:i/>
          <w:color w:val="747474"/>
          <w:sz w:val="20"/>
        </w:rPr>
        <w:t>Australian Government Department of Health and Aged Care</w:t>
      </w:r>
      <w:r>
        <w:rPr>
          <w:color w:val="747474"/>
          <w:sz w:val="20"/>
        </w:rPr>
        <w:t>. Available at: </w:t>
      </w:r>
      <w:hyperlink r:id="rId45">
        <w:r>
          <w:rPr>
            <w:color w:val="747474"/>
            <w:spacing w:val="-2"/>
            <w:sz w:val="20"/>
            <w:u w:val="single" w:color="747474"/>
          </w:rPr>
          <w:t>https://www.health.gov.au/resources/publications/final-report-of-the-aged-care-</w:t>
        </w:r>
      </w:hyperlink>
      <w:r>
        <w:rPr>
          <w:color w:val="747474"/>
          <w:spacing w:val="-2"/>
          <w:sz w:val="20"/>
          <w:u w:val="none"/>
        </w:rPr>
        <w:t> </w:t>
      </w:r>
      <w:hyperlink r:id="rId45">
        <w:r>
          <w:rPr>
            <w:color w:val="747474"/>
            <w:sz w:val="20"/>
            <w:u w:val="single" w:color="747474"/>
          </w:rPr>
          <w:t>taskforce?language=en</w:t>
        </w:r>
      </w:hyperlink>
      <w:r>
        <w:rPr>
          <w:color w:val="747474"/>
          <w:sz w:val="20"/>
          <w:u w:val="none"/>
        </w:rPr>
        <w:t> (Accessed: 04 March 2025).</w:t>
      </w:r>
    </w:p>
    <w:p>
      <w:pPr>
        <w:pStyle w:val="BodyText"/>
        <w:spacing w:line="242" w:lineRule="auto" w:before="214"/>
        <w:ind w:left="1757" w:right="574" w:hanging="558"/>
        <w:jc w:val="both"/>
      </w:pPr>
      <w:r>
        <w:rPr>
          <w:color w:val="747474"/>
        </w:rPr>
        <w:t>Australian</w:t>
      </w:r>
      <w:r>
        <w:rPr>
          <w:color w:val="747474"/>
          <w:spacing w:val="-14"/>
        </w:rPr>
        <w:t> </w:t>
      </w:r>
      <w:r>
        <w:rPr>
          <w:color w:val="747474"/>
        </w:rPr>
        <w:t>Institute</w:t>
      </w:r>
      <w:r>
        <w:rPr>
          <w:color w:val="747474"/>
          <w:spacing w:val="-14"/>
        </w:rPr>
        <w:t> </w:t>
      </w:r>
      <w:r>
        <w:rPr>
          <w:color w:val="747474"/>
        </w:rPr>
        <w:t>of Health</w:t>
      </w:r>
      <w:r>
        <w:rPr>
          <w:color w:val="747474"/>
          <w:spacing w:val="-6"/>
        </w:rPr>
        <w:t> </w:t>
      </w:r>
      <w:r>
        <w:rPr>
          <w:color w:val="747474"/>
        </w:rPr>
        <w:t>and</w:t>
      </w:r>
      <w:r>
        <w:rPr>
          <w:color w:val="747474"/>
          <w:spacing w:val="-14"/>
        </w:rPr>
        <w:t> </w:t>
      </w:r>
      <w:r>
        <w:rPr>
          <w:color w:val="747474"/>
        </w:rPr>
        <w:t>Welfare</w:t>
      </w:r>
      <w:r>
        <w:rPr>
          <w:color w:val="747474"/>
          <w:spacing w:val="-2"/>
        </w:rPr>
        <w:t> </w:t>
      </w:r>
      <w:r>
        <w:rPr>
          <w:color w:val="747474"/>
        </w:rPr>
        <w:t>(2024)</w:t>
      </w:r>
      <w:r>
        <w:rPr>
          <w:color w:val="747474"/>
          <w:spacing w:val="-1"/>
        </w:rPr>
        <w:t> </w:t>
      </w:r>
      <w:r>
        <w:rPr>
          <w:i/>
          <w:color w:val="747474"/>
        </w:rPr>
        <w:t>People</w:t>
      </w:r>
      <w:r>
        <w:rPr>
          <w:i/>
          <w:color w:val="747474"/>
          <w:spacing w:val="-2"/>
        </w:rPr>
        <w:t> </w:t>
      </w:r>
      <w:r>
        <w:rPr>
          <w:i/>
          <w:color w:val="747474"/>
        </w:rPr>
        <w:t>using</w:t>
      </w:r>
      <w:r>
        <w:rPr>
          <w:i/>
          <w:color w:val="747474"/>
          <w:spacing w:val="-2"/>
        </w:rPr>
        <w:t> </w:t>
      </w:r>
      <w:r>
        <w:rPr>
          <w:i/>
          <w:color w:val="747474"/>
        </w:rPr>
        <w:t>aged</w:t>
      </w:r>
      <w:r>
        <w:rPr>
          <w:i/>
          <w:color w:val="747474"/>
          <w:spacing w:val="-2"/>
        </w:rPr>
        <w:t> </w:t>
      </w:r>
      <w:r>
        <w:rPr>
          <w:i/>
          <w:color w:val="747474"/>
        </w:rPr>
        <w:t>care</w:t>
      </w:r>
      <w:r>
        <w:rPr>
          <w:color w:val="747474"/>
        </w:rPr>
        <w:t>,</w:t>
      </w:r>
      <w:r>
        <w:rPr>
          <w:color w:val="747474"/>
          <w:spacing w:val="-4"/>
        </w:rPr>
        <w:t> </w:t>
      </w:r>
      <w:r>
        <w:rPr>
          <w:i/>
          <w:color w:val="747474"/>
        </w:rPr>
        <w:t>AIHW</w:t>
      </w:r>
      <w:r>
        <w:rPr>
          <w:i/>
          <w:color w:val="747474"/>
          <w:spacing w:val="-8"/>
        </w:rPr>
        <w:t> </w:t>
      </w:r>
      <w:r>
        <w:rPr>
          <w:i/>
          <w:color w:val="747474"/>
        </w:rPr>
        <w:t>Gen</w:t>
      </w:r>
      <w:r>
        <w:rPr>
          <w:color w:val="747474"/>
        </w:rPr>
        <w:t>.</w:t>
      </w:r>
      <w:r>
        <w:rPr>
          <w:color w:val="747474"/>
          <w:spacing w:val="-9"/>
        </w:rPr>
        <w:t> </w:t>
      </w:r>
      <w:r>
        <w:rPr>
          <w:color w:val="747474"/>
        </w:rPr>
        <w:t>Available</w:t>
      </w:r>
      <w:r>
        <w:rPr>
          <w:color w:val="747474"/>
          <w:spacing w:val="-7"/>
        </w:rPr>
        <w:t> </w:t>
      </w:r>
      <w:r>
        <w:rPr>
          <w:color w:val="747474"/>
        </w:rPr>
        <w:t>at: </w:t>
      </w:r>
      <w:hyperlink r:id="rId46">
        <w:r>
          <w:rPr>
            <w:color w:val="747474"/>
            <w:u w:val="single" w:color="747474"/>
          </w:rPr>
          <w:t>https://www.gen-agedcaredata.gov.au/topics/people-using-aged-care</w:t>
        </w:r>
      </w:hyperlink>
      <w:r>
        <w:rPr>
          <w:color w:val="747474"/>
          <w:u w:val="none"/>
        </w:rPr>
        <w:t> (Accessed: 04 March </w:t>
      </w:r>
      <w:r>
        <w:rPr>
          <w:color w:val="747474"/>
          <w:spacing w:val="-2"/>
          <w:u w:val="none"/>
        </w:rPr>
        <w:t>2025).</w:t>
      </w:r>
    </w:p>
    <w:p>
      <w:pPr>
        <w:spacing w:line="242" w:lineRule="auto" w:before="221"/>
        <w:ind w:left="1757" w:right="592" w:hanging="558"/>
        <w:jc w:val="left"/>
        <w:rPr>
          <w:sz w:val="20"/>
        </w:rPr>
      </w:pPr>
      <w:r>
        <w:rPr>
          <w:color w:val="747474"/>
          <w:sz w:val="20"/>
        </w:rPr>
        <w:t>AustralianSuper (2025) </w:t>
      </w:r>
      <w:r>
        <w:rPr>
          <w:i/>
          <w:color w:val="747474"/>
          <w:sz w:val="20"/>
        </w:rPr>
        <w:t>Your PreMixed Investment Options</w:t>
      </w:r>
      <w:r>
        <w:rPr>
          <w:color w:val="747474"/>
          <w:sz w:val="20"/>
        </w:rPr>
        <w:t>, </w:t>
      </w:r>
      <w:r>
        <w:rPr>
          <w:i/>
          <w:color w:val="747474"/>
          <w:sz w:val="20"/>
        </w:rPr>
        <w:t>AustralianSuper</w:t>
      </w:r>
      <w:r>
        <w:rPr>
          <w:color w:val="747474"/>
          <w:sz w:val="20"/>
        </w:rPr>
        <w:t>. Available at: </w:t>
      </w:r>
      <w:hyperlink r:id="rId47">
        <w:r>
          <w:rPr>
            <w:color w:val="747474"/>
            <w:spacing w:val="-2"/>
            <w:sz w:val="20"/>
            <w:u w:val="single" w:color="747474"/>
          </w:rPr>
          <w:t>https://www.australiansuper.com/investments/your-investment-options/pre-mixed-investment-</w:t>
        </w:r>
      </w:hyperlink>
      <w:r>
        <w:rPr>
          <w:color w:val="747474"/>
          <w:spacing w:val="-2"/>
          <w:sz w:val="20"/>
          <w:u w:val="none"/>
        </w:rPr>
        <w:t> </w:t>
      </w:r>
      <w:hyperlink r:id="rId47">
        <w:r>
          <w:rPr>
            <w:color w:val="747474"/>
            <w:sz w:val="20"/>
            <w:u w:val="single" w:color="747474"/>
          </w:rPr>
          <w:t>choice</w:t>
        </w:r>
      </w:hyperlink>
      <w:r>
        <w:rPr>
          <w:color w:val="747474"/>
          <w:sz w:val="20"/>
          <w:u w:val="none"/>
        </w:rPr>
        <w:t> (Accessed: 04 March 2025).</w:t>
      </w:r>
    </w:p>
    <w:sectPr>
      <w:pgSz w:w="11910" w:h="16840"/>
      <w:pgMar w:header="0" w:footer="714" w:top="360" w:bottom="900" w:left="240" w:right="12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MS Gothic">
    <w:altName w:val="MS Gothic"/>
    <w:charset w:val="0"/>
    <w:family w:val="modern"/>
    <w:pitch w:val="fixed"/>
  </w:font>
  <w:font w:name="Segoe UI Symbol">
    <w:altName w:val="Segoe UI Symbol"/>
    <w:charset w:val="0"/>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pPr>
    <w:r>
      <w:rPr/>
      <mc:AlternateContent>
        <mc:Choice Requires="wps">
          <w:drawing>
            <wp:anchor distT="0" distB="0" distL="0" distR="0" allowOverlap="1" layoutInCell="1" locked="0" behindDoc="1" simplePos="0" relativeHeight="487141888">
              <wp:simplePos x="0" y="0"/>
              <wp:positionH relativeFrom="page">
                <wp:posOffset>5860160</wp:posOffset>
              </wp:positionH>
              <wp:positionV relativeFrom="page">
                <wp:posOffset>10099343</wp:posOffset>
              </wp:positionV>
              <wp:extent cx="796925" cy="15494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796925" cy="154940"/>
                      </a:xfrm>
                      <a:prstGeom prst="rect">
                        <a:avLst/>
                      </a:prstGeom>
                    </wps:spPr>
                    <wps:txbx>
                      <w:txbxContent>
                        <w:p>
                          <w:pPr>
                            <w:spacing w:before="16"/>
                            <w:ind w:left="20" w:right="0" w:firstLine="0"/>
                            <w:jc w:val="left"/>
                            <w:rPr>
                              <w:sz w:val="18"/>
                            </w:rPr>
                          </w:pPr>
                          <w:r>
                            <w:rPr>
                              <w:color w:val="0D465F"/>
                              <w:sz w:val="18"/>
                            </w:rPr>
                            <w:t>|</w:t>
                          </w:r>
                          <w:r>
                            <w:rPr>
                              <w:color w:val="0D465F"/>
                              <w:spacing w:val="-3"/>
                              <w:sz w:val="18"/>
                            </w:rPr>
                            <w:t> </w:t>
                          </w:r>
                          <w:r>
                            <w:rPr>
                              <w:color w:val="0D465F"/>
                              <w:sz w:val="18"/>
                            </w:rPr>
                            <w:t>Page</w:t>
                          </w:r>
                          <w:r>
                            <w:rPr>
                              <w:color w:val="0D465F"/>
                              <w:spacing w:val="-3"/>
                              <w:sz w:val="18"/>
                            </w:rPr>
                            <w:t> </w:t>
                          </w:r>
                          <w:r>
                            <w:rPr>
                              <w:color w:val="0D465F"/>
                              <w:sz w:val="18"/>
                            </w:rPr>
                            <w:fldChar w:fldCharType="begin"/>
                          </w:r>
                          <w:r>
                            <w:rPr>
                              <w:color w:val="0D465F"/>
                              <w:sz w:val="18"/>
                            </w:rPr>
                            <w:instrText> PAGE </w:instrText>
                          </w:r>
                          <w:r>
                            <w:rPr>
                              <w:color w:val="0D465F"/>
                              <w:sz w:val="18"/>
                            </w:rPr>
                            <w:fldChar w:fldCharType="separate"/>
                          </w:r>
                          <w:r>
                            <w:rPr>
                              <w:color w:val="0D465F"/>
                              <w:sz w:val="18"/>
                            </w:rPr>
                            <w:t>10</w:t>
                          </w:r>
                          <w:r>
                            <w:rPr>
                              <w:color w:val="0D465F"/>
                              <w:sz w:val="18"/>
                            </w:rPr>
                            <w:fldChar w:fldCharType="end"/>
                          </w:r>
                          <w:r>
                            <w:rPr>
                              <w:color w:val="0D465F"/>
                              <w:spacing w:val="1"/>
                              <w:sz w:val="18"/>
                            </w:rPr>
                            <w:t> </w:t>
                          </w:r>
                          <w:r>
                            <w:rPr>
                              <w:color w:val="0D465F"/>
                              <w:sz w:val="18"/>
                            </w:rPr>
                            <w:t>of</w:t>
                          </w:r>
                          <w:r>
                            <w:rPr>
                              <w:color w:val="0D465F"/>
                              <w:spacing w:val="5"/>
                              <w:sz w:val="18"/>
                            </w:rPr>
                            <w:t> </w:t>
                          </w:r>
                          <w:r>
                            <w:rPr>
                              <w:color w:val="0D465F"/>
                              <w:spacing w:val="-5"/>
                              <w:sz w:val="18"/>
                            </w:rPr>
                            <w:fldChar w:fldCharType="begin"/>
                          </w:r>
                          <w:r>
                            <w:rPr>
                              <w:color w:val="0D465F"/>
                              <w:spacing w:val="-5"/>
                              <w:sz w:val="18"/>
                            </w:rPr>
                            <w:instrText> NUMPAGES </w:instrText>
                          </w:r>
                          <w:r>
                            <w:rPr>
                              <w:color w:val="0D465F"/>
                              <w:spacing w:val="-5"/>
                              <w:sz w:val="18"/>
                            </w:rPr>
                            <w:fldChar w:fldCharType="separate"/>
                          </w:r>
                          <w:r>
                            <w:rPr>
                              <w:color w:val="0D465F"/>
                              <w:spacing w:val="-5"/>
                              <w:sz w:val="18"/>
                            </w:rPr>
                            <w:t>13</w:t>
                          </w:r>
                          <w:r>
                            <w:rPr>
                              <w:color w:val="0D465F"/>
                              <w:spacing w:val="-5"/>
                              <w:sz w:val="18"/>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61.429993pt;margin-top:795.223877pt;width:62.75pt;height:12.2pt;mso-position-horizontal-relative:page;mso-position-vertical-relative:page;z-index:-16174592" type="#_x0000_t202" id="docshape1" filled="false" stroked="false">
              <v:textbox inset="0,0,0,0">
                <w:txbxContent>
                  <w:p>
                    <w:pPr>
                      <w:spacing w:before="16"/>
                      <w:ind w:left="20" w:right="0" w:firstLine="0"/>
                      <w:jc w:val="left"/>
                      <w:rPr>
                        <w:sz w:val="18"/>
                      </w:rPr>
                    </w:pPr>
                    <w:r>
                      <w:rPr>
                        <w:color w:val="0D465F"/>
                        <w:sz w:val="18"/>
                      </w:rPr>
                      <w:t>|</w:t>
                    </w:r>
                    <w:r>
                      <w:rPr>
                        <w:color w:val="0D465F"/>
                        <w:spacing w:val="-3"/>
                        <w:sz w:val="18"/>
                      </w:rPr>
                      <w:t> </w:t>
                    </w:r>
                    <w:r>
                      <w:rPr>
                        <w:color w:val="0D465F"/>
                        <w:sz w:val="18"/>
                      </w:rPr>
                      <w:t>Page</w:t>
                    </w:r>
                    <w:r>
                      <w:rPr>
                        <w:color w:val="0D465F"/>
                        <w:spacing w:val="-3"/>
                        <w:sz w:val="18"/>
                      </w:rPr>
                      <w:t> </w:t>
                    </w:r>
                    <w:r>
                      <w:rPr>
                        <w:color w:val="0D465F"/>
                        <w:sz w:val="18"/>
                      </w:rPr>
                      <w:fldChar w:fldCharType="begin"/>
                    </w:r>
                    <w:r>
                      <w:rPr>
                        <w:color w:val="0D465F"/>
                        <w:sz w:val="18"/>
                      </w:rPr>
                      <w:instrText> PAGE </w:instrText>
                    </w:r>
                    <w:r>
                      <w:rPr>
                        <w:color w:val="0D465F"/>
                        <w:sz w:val="18"/>
                      </w:rPr>
                      <w:fldChar w:fldCharType="separate"/>
                    </w:r>
                    <w:r>
                      <w:rPr>
                        <w:color w:val="0D465F"/>
                        <w:sz w:val="18"/>
                      </w:rPr>
                      <w:t>10</w:t>
                    </w:r>
                    <w:r>
                      <w:rPr>
                        <w:color w:val="0D465F"/>
                        <w:sz w:val="18"/>
                      </w:rPr>
                      <w:fldChar w:fldCharType="end"/>
                    </w:r>
                    <w:r>
                      <w:rPr>
                        <w:color w:val="0D465F"/>
                        <w:spacing w:val="1"/>
                        <w:sz w:val="18"/>
                      </w:rPr>
                      <w:t> </w:t>
                    </w:r>
                    <w:r>
                      <w:rPr>
                        <w:color w:val="0D465F"/>
                        <w:sz w:val="18"/>
                      </w:rPr>
                      <w:t>of</w:t>
                    </w:r>
                    <w:r>
                      <w:rPr>
                        <w:color w:val="0D465F"/>
                        <w:spacing w:val="5"/>
                        <w:sz w:val="18"/>
                      </w:rPr>
                      <w:t> </w:t>
                    </w:r>
                    <w:r>
                      <w:rPr>
                        <w:color w:val="0D465F"/>
                        <w:spacing w:val="-5"/>
                        <w:sz w:val="18"/>
                      </w:rPr>
                      <w:fldChar w:fldCharType="begin"/>
                    </w:r>
                    <w:r>
                      <w:rPr>
                        <w:color w:val="0D465F"/>
                        <w:spacing w:val="-5"/>
                        <w:sz w:val="18"/>
                      </w:rPr>
                      <w:instrText> NUMPAGES </w:instrText>
                    </w:r>
                    <w:r>
                      <w:rPr>
                        <w:color w:val="0D465F"/>
                        <w:spacing w:val="-5"/>
                        <w:sz w:val="18"/>
                      </w:rPr>
                      <w:fldChar w:fldCharType="separate"/>
                    </w:r>
                    <w:r>
                      <w:rPr>
                        <w:color w:val="0D465F"/>
                        <w:spacing w:val="-5"/>
                        <w:sz w:val="18"/>
                      </w:rPr>
                      <w:t>13</w:t>
                    </w:r>
                    <w:r>
                      <w:rPr>
                        <w:color w:val="0D465F"/>
                        <w:spacing w:val="-5"/>
                        <w:sz w:val="18"/>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830" w:hanging="360"/>
      </w:pPr>
      <w:rPr>
        <w:rFonts w:hint="default" w:ascii="Symbol" w:hAnsi="Symbol" w:eastAsia="Symbol" w:cs="Symbol"/>
        <w:b w:val="0"/>
        <w:bCs w:val="0"/>
        <w:i w:val="0"/>
        <w:iCs w:val="0"/>
        <w:spacing w:val="0"/>
        <w:w w:val="101"/>
        <w:sz w:val="18"/>
        <w:szCs w:val="18"/>
        <w:lang w:val="en-US" w:eastAsia="en-US" w:bidi="ar-SA"/>
      </w:rPr>
    </w:lvl>
    <w:lvl w:ilvl="1">
      <w:start w:val="0"/>
      <w:numFmt w:val="bullet"/>
      <w:lvlText w:val="•"/>
      <w:lvlJc w:val="left"/>
      <w:pPr>
        <w:ind w:left="1531" w:hanging="360"/>
      </w:pPr>
      <w:rPr>
        <w:rFonts w:hint="default"/>
        <w:lang w:val="en-US" w:eastAsia="en-US" w:bidi="ar-SA"/>
      </w:rPr>
    </w:lvl>
    <w:lvl w:ilvl="2">
      <w:start w:val="0"/>
      <w:numFmt w:val="bullet"/>
      <w:lvlText w:val="•"/>
      <w:lvlJc w:val="left"/>
      <w:pPr>
        <w:ind w:left="2223" w:hanging="360"/>
      </w:pPr>
      <w:rPr>
        <w:rFonts w:hint="default"/>
        <w:lang w:val="en-US" w:eastAsia="en-US" w:bidi="ar-SA"/>
      </w:rPr>
    </w:lvl>
    <w:lvl w:ilvl="3">
      <w:start w:val="0"/>
      <w:numFmt w:val="bullet"/>
      <w:lvlText w:val="•"/>
      <w:lvlJc w:val="left"/>
      <w:pPr>
        <w:ind w:left="2914" w:hanging="360"/>
      </w:pPr>
      <w:rPr>
        <w:rFonts w:hint="default"/>
        <w:lang w:val="en-US" w:eastAsia="en-US" w:bidi="ar-SA"/>
      </w:rPr>
    </w:lvl>
    <w:lvl w:ilvl="4">
      <w:start w:val="0"/>
      <w:numFmt w:val="bullet"/>
      <w:lvlText w:val="•"/>
      <w:lvlJc w:val="left"/>
      <w:pPr>
        <w:ind w:left="3606" w:hanging="360"/>
      </w:pPr>
      <w:rPr>
        <w:rFonts w:hint="default"/>
        <w:lang w:val="en-US" w:eastAsia="en-US" w:bidi="ar-SA"/>
      </w:rPr>
    </w:lvl>
    <w:lvl w:ilvl="5">
      <w:start w:val="0"/>
      <w:numFmt w:val="bullet"/>
      <w:lvlText w:val="•"/>
      <w:lvlJc w:val="left"/>
      <w:pPr>
        <w:ind w:left="4297" w:hanging="360"/>
      </w:pPr>
      <w:rPr>
        <w:rFonts w:hint="default"/>
        <w:lang w:val="en-US" w:eastAsia="en-US" w:bidi="ar-SA"/>
      </w:rPr>
    </w:lvl>
    <w:lvl w:ilvl="6">
      <w:start w:val="0"/>
      <w:numFmt w:val="bullet"/>
      <w:lvlText w:val="•"/>
      <w:lvlJc w:val="left"/>
      <w:pPr>
        <w:ind w:left="4989" w:hanging="360"/>
      </w:pPr>
      <w:rPr>
        <w:rFonts w:hint="default"/>
        <w:lang w:val="en-US" w:eastAsia="en-US" w:bidi="ar-SA"/>
      </w:rPr>
    </w:lvl>
    <w:lvl w:ilvl="7">
      <w:start w:val="0"/>
      <w:numFmt w:val="bullet"/>
      <w:lvlText w:val="•"/>
      <w:lvlJc w:val="left"/>
      <w:pPr>
        <w:ind w:left="5680" w:hanging="360"/>
      </w:pPr>
      <w:rPr>
        <w:rFonts w:hint="default"/>
        <w:lang w:val="en-US" w:eastAsia="en-US" w:bidi="ar-SA"/>
      </w:rPr>
    </w:lvl>
    <w:lvl w:ilvl="8">
      <w:start w:val="0"/>
      <w:numFmt w:val="bullet"/>
      <w:lvlText w:val="•"/>
      <w:lvlJc w:val="left"/>
      <w:pPr>
        <w:ind w:left="6372" w:hanging="360"/>
      </w:pPr>
      <w:rPr>
        <w:rFonts w:hint="default"/>
        <w:lang w:val="en-US" w:eastAsia="en-US" w:bidi="ar-SA"/>
      </w:rPr>
    </w:lvl>
  </w:abstractNum>
  <w:abstractNum w:abstractNumId="3">
    <w:multiLevelType w:val="hybridMultilevel"/>
    <w:lvl w:ilvl="0">
      <w:start w:val="0"/>
      <w:numFmt w:val="bullet"/>
      <w:lvlText w:val=""/>
      <w:lvlJc w:val="left"/>
      <w:pPr>
        <w:ind w:left="830" w:hanging="360"/>
      </w:pPr>
      <w:rPr>
        <w:rFonts w:hint="default" w:ascii="Symbol" w:hAnsi="Symbol" w:eastAsia="Symbol" w:cs="Symbol"/>
        <w:b w:val="0"/>
        <w:bCs w:val="0"/>
        <w:i w:val="0"/>
        <w:iCs w:val="0"/>
        <w:spacing w:val="0"/>
        <w:w w:val="101"/>
        <w:sz w:val="18"/>
        <w:szCs w:val="18"/>
        <w:lang w:val="en-US" w:eastAsia="en-US" w:bidi="ar-SA"/>
      </w:rPr>
    </w:lvl>
    <w:lvl w:ilvl="1">
      <w:start w:val="0"/>
      <w:numFmt w:val="bullet"/>
      <w:lvlText w:val="•"/>
      <w:lvlJc w:val="left"/>
      <w:pPr>
        <w:ind w:left="1531" w:hanging="360"/>
      </w:pPr>
      <w:rPr>
        <w:rFonts w:hint="default"/>
        <w:lang w:val="en-US" w:eastAsia="en-US" w:bidi="ar-SA"/>
      </w:rPr>
    </w:lvl>
    <w:lvl w:ilvl="2">
      <w:start w:val="0"/>
      <w:numFmt w:val="bullet"/>
      <w:lvlText w:val="•"/>
      <w:lvlJc w:val="left"/>
      <w:pPr>
        <w:ind w:left="2223" w:hanging="360"/>
      </w:pPr>
      <w:rPr>
        <w:rFonts w:hint="default"/>
        <w:lang w:val="en-US" w:eastAsia="en-US" w:bidi="ar-SA"/>
      </w:rPr>
    </w:lvl>
    <w:lvl w:ilvl="3">
      <w:start w:val="0"/>
      <w:numFmt w:val="bullet"/>
      <w:lvlText w:val="•"/>
      <w:lvlJc w:val="left"/>
      <w:pPr>
        <w:ind w:left="2914" w:hanging="360"/>
      </w:pPr>
      <w:rPr>
        <w:rFonts w:hint="default"/>
        <w:lang w:val="en-US" w:eastAsia="en-US" w:bidi="ar-SA"/>
      </w:rPr>
    </w:lvl>
    <w:lvl w:ilvl="4">
      <w:start w:val="0"/>
      <w:numFmt w:val="bullet"/>
      <w:lvlText w:val="•"/>
      <w:lvlJc w:val="left"/>
      <w:pPr>
        <w:ind w:left="3606" w:hanging="360"/>
      </w:pPr>
      <w:rPr>
        <w:rFonts w:hint="default"/>
        <w:lang w:val="en-US" w:eastAsia="en-US" w:bidi="ar-SA"/>
      </w:rPr>
    </w:lvl>
    <w:lvl w:ilvl="5">
      <w:start w:val="0"/>
      <w:numFmt w:val="bullet"/>
      <w:lvlText w:val="•"/>
      <w:lvlJc w:val="left"/>
      <w:pPr>
        <w:ind w:left="4297" w:hanging="360"/>
      </w:pPr>
      <w:rPr>
        <w:rFonts w:hint="default"/>
        <w:lang w:val="en-US" w:eastAsia="en-US" w:bidi="ar-SA"/>
      </w:rPr>
    </w:lvl>
    <w:lvl w:ilvl="6">
      <w:start w:val="0"/>
      <w:numFmt w:val="bullet"/>
      <w:lvlText w:val="•"/>
      <w:lvlJc w:val="left"/>
      <w:pPr>
        <w:ind w:left="4989" w:hanging="360"/>
      </w:pPr>
      <w:rPr>
        <w:rFonts w:hint="default"/>
        <w:lang w:val="en-US" w:eastAsia="en-US" w:bidi="ar-SA"/>
      </w:rPr>
    </w:lvl>
    <w:lvl w:ilvl="7">
      <w:start w:val="0"/>
      <w:numFmt w:val="bullet"/>
      <w:lvlText w:val="•"/>
      <w:lvlJc w:val="left"/>
      <w:pPr>
        <w:ind w:left="5680" w:hanging="360"/>
      </w:pPr>
      <w:rPr>
        <w:rFonts w:hint="default"/>
        <w:lang w:val="en-US" w:eastAsia="en-US" w:bidi="ar-SA"/>
      </w:rPr>
    </w:lvl>
    <w:lvl w:ilvl="8">
      <w:start w:val="0"/>
      <w:numFmt w:val="bullet"/>
      <w:lvlText w:val="•"/>
      <w:lvlJc w:val="left"/>
      <w:pPr>
        <w:ind w:left="6372" w:hanging="360"/>
      </w:pPr>
      <w:rPr>
        <w:rFonts w:hint="default"/>
        <w:lang w:val="en-US" w:eastAsia="en-US" w:bidi="ar-SA"/>
      </w:rPr>
    </w:lvl>
  </w:abstractNum>
  <w:abstractNum w:abstractNumId="2">
    <w:multiLevelType w:val="hybridMultilevel"/>
    <w:lvl w:ilvl="0">
      <w:start w:val="0"/>
      <w:numFmt w:val="bullet"/>
      <w:lvlText w:val=""/>
      <w:lvlJc w:val="left"/>
      <w:pPr>
        <w:ind w:left="1560" w:hanging="361"/>
      </w:pPr>
      <w:rPr>
        <w:rFonts w:hint="default" w:ascii="Symbol" w:hAnsi="Symbol" w:eastAsia="Symbol" w:cs="Symbol"/>
        <w:b w:val="0"/>
        <w:bCs w:val="0"/>
        <w:i w:val="0"/>
        <w:iCs w:val="0"/>
        <w:spacing w:val="0"/>
        <w:w w:val="100"/>
        <w:sz w:val="20"/>
        <w:szCs w:val="20"/>
        <w:lang w:val="en-US" w:eastAsia="en-US" w:bidi="ar-SA"/>
      </w:rPr>
    </w:lvl>
    <w:lvl w:ilvl="1">
      <w:start w:val="0"/>
      <w:numFmt w:val="bullet"/>
      <w:lvlText w:val="•"/>
      <w:lvlJc w:val="left"/>
      <w:pPr>
        <w:ind w:left="2446" w:hanging="361"/>
      </w:pPr>
      <w:rPr>
        <w:rFonts w:hint="default"/>
        <w:lang w:val="en-US" w:eastAsia="en-US" w:bidi="ar-SA"/>
      </w:rPr>
    </w:lvl>
    <w:lvl w:ilvl="2">
      <w:start w:val="0"/>
      <w:numFmt w:val="bullet"/>
      <w:lvlText w:val="•"/>
      <w:lvlJc w:val="left"/>
      <w:pPr>
        <w:ind w:left="3333" w:hanging="361"/>
      </w:pPr>
      <w:rPr>
        <w:rFonts w:hint="default"/>
        <w:lang w:val="en-US" w:eastAsia="en-US" w:bidi="ar-SA"/>
      </w:rPr>
    </w:lvl>
    <w:lvl w:ilvl="3">
      <w:start w:val="0"/>
      <w:numFmt w:val="bullet"/>
      <w:lvlText w:val="•"/>
      <w:lvlJc w:val="left"/>
      <w:pPr>
        <w:ind w:left="4220" w:hanging="361"/>
      </w:pPr>
      <w:rPr>
        <w:rFonts w:hint="default"/>
        <w:lang w:val="en-US" w:eastAsia="en-US" w:bidi="ar-SA"/>
      </w:rPr>
    </w:lvl>
    <w:lvl w:ilvl="4">
      <w:start w:val="0"/>
      <w:numFmt w:val="bullet"/>
      <w:lvlText w:val="•"/>
      <w:lvlJc w:val="left"/>
      <w:pPr>
        <w:ind w:left="5107" w:hanging="361"/>
      </w:pPr>
      <w:rPr>
        <w:rFonts w:hint="default"/>
        <w:lang w:val="en-US" w:eastAsia="en-US" w:bidi="ar-SA"/>
      </w:rPr>
    </w:lvl>
    <w:lvl w:ilvl="5">
      <w:start w:val="0"/>
      <w:numFmt w:val="bullet"/>
      <w:lvlText w:val="•"/>
      <w:lvlJc w:val="left"/>
      <w:pPr>
        <w:ind w:left="5994" w:hanging="361"/>
      </w:pPr>
      <w:rPr>
        <w:rFonts w:hint="default"/>
        <w:lang w:val="en-US" w:eastAsia="en-US" w:bidi="ar-SA"/>
      </w:rPr>
    </w:lvl>
    <w:lvl w:ilvl="6">
      <w:start w:val="0"/>
      <w:numFmt w:val="bullet"/>
      <w:lvlText w:val="•"/>
      <w:lvlJc w:val="left"/>
      <w:pPr>
        <w:ind w:left="6881" w:hanging="361"/>
      </w:pPr>
      <w:rPr>
        <w:rFonts w:hint="default"/>
        <w:lang w:val="en-US" w:eastAsia="en-US" w:bidi="ar-SA"/>
      </w:rPr>
    </w:lvl>
    <w:lvl w:ilvl="7">
      <w:start w:val="0"/>
      <w:numFmt w:val="bullet"/>
      <w:lvlText w:val="•"/>
      <w:lvlJc w:val="left"/>
      <w:pPr>
        <w:ind w:left="7768" w:hanging="361"/>
      </w:pPr>
      <w:rPr>
        <w:rFonts w:hint="default"/>
        <w:lang w:val="en-US" w:eastAsia="en-US" w:bidi="ar-SA"/>
      </w:rPr>
    </w:lvl>
    <w:lvl w:ilvl="8">
      <w:start w:val="0"/>
      <w:numFmt w:val="bullet"/>
      <w:lvlText w:val="•"/>
      <w:lvlJc w:val="left"/>
      <w:pPr>
        <w:ind w:left="8655" w:hanging="361"/>
      </w:pPr>
      <w:rPr>
        <w:rFonts w:hint="default"/>
        <w:lang w:val="en-US" w:eastAsia="en-US" w:bidi="ar-SA"/>
      </w:rPr>
    </w:lvl>
  </w:abstractNum>
  <w:abstractNum w:abstractNumId="1">
    <w:multiLevelType w:val="hybridMultilevel"/>
    <w:lvl w:ilvl="0">
      <w:start w:val="1"/>
      <w:numFmt w:val="decimal"/>
      <w:lvlText w:val="%1."/>
      <w:lvlJc w:val="left"/>
      <w:pPr>
        <w:ind w:left="1921" w:hanging="361"/>
        <w:jc w:val="left"/>
      </w:pPr>
      <w:rPr>
        <w:rFonts w:hint="default" w:ascii="Arial" w:hAnsi="Arial" w:eastAsia="Arial" w:cs="Arial"/>
        <w:b w:val="0"/>
        <w:bCs w:val="0"/>
        <w:i w:val="0"/>
        <w:iCs w:val="0"/>
        <w:spacing w:val="-2"/>
        <w:w w:val="100"/>
        <w:sz w:val="20"/>
        <w:szCs w:val="20"/>
        <w:lang w:val="en-US" w:eastAsia="en-US" w:bidi="ar-SA"/>
      </w:rPr>
    </w:lvl>
    <w:lvl w:ilvl="1">
      <w:start w:val="0"/>
      <w:numFmt w:val="bullet"/>
      <w:lvlText w:val="•"/>
      <w:lvlJc w:val="left"/>
      <w:pPr>
        <w:ind w:left="2770" w:hanging="361"/>
      </w:pPr>
      <w:rPr>
        <w:rFonts w:hint="default"/>
        <w:lang w:val="en-US" w:eastAsia="en-US" w:bidi="ar-SA"/>
      </w:rPr>
    </w:lvl>
    <w:lvl w:ilvl="2">
      <w:start w:val="0"/>
      <w:numFmt w:val="bullet"/>
      <w:lvlText w:val="•"/>
      <w:lvlJc w:val="left"/>
      <w:pPr>
        <w:ind w:left="3621" w:hanging="361"/>
      </w:pPr>
      <w:rPr>
        <w:rFonts w:hint="default"/>
        <w:lang w:val="en-US" w:eastAsia="en-US" w:bidi="ar-SA"/>
      </w:rPr>
    </w:lvl>
    <w:lvl w:ilvl="3">
      <w:start w:val="0"/>
      <w:numFmt w:val="bullet"/>
      <w:lvlText w:val="•"/>
      <w:lvlJc w:val="left"/>
      <w:pPr>
        <w:ind w:left="4472" w:hanging="361"/>
      </w:pPr>
      <w:rPr>
        <w:rFonts w:hint="default"/>
        <w:lang w:val="en-US" w:eastAsia="en-US" w:bidi="ar-SA"/>
      </w:rPr>
    </w:lvl>
    <w:lvl w:ilvl="4">
      <w:start w:val="0"/>
      <w:numFmt w:val="bullet"/>
      <w:lvlText w:val="•"/>
      <w:lvlJc w:val="left"/>
      <w:pPr>
        <w:ind w:left="5323" w:hanging="361"/>
      </w:pPr>
      <w:rPr>
        <w:rFonts w:hint="default"/>
        <w:lang w:val="en-US" w:eastAsia="en-US" w:bidi="ar-SA"/>
      </w:rPr>
    </w:lvl>
    <w:lvl w:ilvl="5">
      <w:start w:val="0"/>
      <w:numFmt w:val="bullet"/>
      <w:lvlText w:val="•"/>
      <w:lvlJc w:val="left"/>
      <w:pPr>
        <w:ind w:left="6174" w:hanging="361"/>
      </w:pPr>
      <w:rPr>
        <w:rFonts w:hint="default"/>
        <w:lang w:val="en-US" w:eastAsia="en-US" w:bidi="ar-SA"/>
      </w:rPr>
    </w:lvl>
    <w:lvl w:ilvl="6">
      <w:start w:val="0"/>
      <w:numFmt w:val="bullet"/>
      <w:lvlText w:val="•"/>
      <w:lvlJc w:val="left"/>
      <w:pPr>
        <w:ind w:left="7025" w:hanging="361"/>
      </w:pPr>
      <w:rPr>
        <w:rFonts w:hint="default"/>
        <w:lang w:val="en-US" w:eastAsia="en-US" w:bidi="ar-SA"/>
      </w:rPr>
    </w:lvl>
    <w:lvl w:ilvl="7">
      <w:start w:val="0"/>
      <w:numFmt w:val="bullet"/>
      <w:lvlText w:val="•"/>
      <w:lvlJc w:val="left"/>
      <w:pPr>
        <w:ind w:left="7876" w:hanging="361"/>
      </w:pPr>
      <w:rPr>
        <w:rFonts w:hint="default"/>
        <w:lang w:val="en-US" w:eastAsia="en-US" w:bidi="ar-SA"/>
      </w:rPr>
    </w:lvl>
    <w:lvl w:ilvl="8">
      <w:start w:val="0"/>
      <w:numFmt w:val="bullet"/>
      <w:lvlText w:val="•"/>
      <w:lvlJc w:val="left"/>
      <w:pPr>
        <w:ind w:left="8727" w:hanging="361"/>
      </w:pPr>
      <w:rPr>
        <w:rFonts w:hint="default"/>
        <w:lang w:val="en-US" w:eastAsia="en-US" w:bidi="ar-SA"/>
      </w:rPr>
    </w:lvl>
  </w:abstractNum>
  <w:abstractNum w:abstractNumId="0">
    <w:multiLevelType w:val="hybridMultilevel"/>
    <w:lvl w:ilvl="0">
      <w:start w:val="0"/>
      <w:numFmt w:val="bullet"/>
      <w:lvlText w:val=""/>
      <w:lvlJc w:val="left"/>
      <w:pPr>
        <w:ind w:left="1921" w:hanging="361"/>
      </w:pPr>
      <w:rPr>
        <w:rFonts w:hint="default" w:ascii="Symbol" w:hAnsi="Symbol" w:eastAsia="Symbol" w:cs="Symbol"/>
        <w:b w:val="0"/>
        <w:bCs w:val="0"/>
        <w:i w:val="0"/>
        <w:iCs w:val="0"/>
        <w:spacing w:val="0"/>
        <w:w w:val="100"/>
        <w:sz w:val="20"/>
        <w:szCs w:val="20"/>
        <w:lang w:val="en-US" w:eastAsia="en-US" w:bidi="ar-SA"/>
      </w:rPr>
    </w:lvl>
    <w:lvl w:ilvl="1">
      <w:start w:val="0"/>
      <w:numFmt w:val="bullet"/>
      <w:lvlText w:val="•"/>
      <w:lvlJc w:val="left"/>
      <w:pPr>
        <w:ind w:left="2770" w:hanging="361"/>
      </w:pPr>
      <w:rPr>
        <w:rFonts w:hint="default"/>
        <w:lang w:val="en-US" w:eastAsia="en-US" w:bidi="ar-SA"/>
      </w:rPr>
    </w:lvl>
    <w:lvl w:ilvl="2">
      <w:start w:val="0"/>
      <w:numFmt w:val="bullet"/>
      <w:lvlText w:val="•"/>
      <w:lvlJc w:val="left"/>
      <w:pPr>
        <w:ind w:left="3621" w:hanging="361"/>
      </w:pPr>
      <w:rPr>
        <w:rFonts w:hint="default"/>
        <w:lang w:val="en-US" w:eastAsia="en-US" w:bidi="ar-SA"/>
      </w:rPr>
    </w:lvl>
    <w:lvl w:ilvl="3">
      <w:start w:val="0"/>
      <w:numFmt w:val="bullet"/>
      <w:lvlText w:val="•"/>
      <w:lvlJc w:val="left"/>
      <w:pPr>
        <w:ind w:left="4472" w:hanging="361"/>
      </w:pPr>
      <w:rPr>
        <w:rFonts w:hint="default"/>
        <w:lang w:val="en-US" w:eastAsia="en-US" w:bidi="ar-SA"/>
      </w:rPr>
    </w:lvl>
    <w:lvl w:ilvl="4">
      <w:start w:val="0"/>
      <w:numFmt w:val="bullet"/>
      <w:lvlText w:val="•"/>
      <w:lvlJc w:val="left"/>
      <w:pPr>
        <w:ind w:left="5323" w:hanging="361"/>
      </w:pPr>
      <w:rPr>
        <w:rFonts w:hint="default"/>
        <w:lang w:val="en-US" w:eastAsia="en-US" w:bidi="ar-SA"/>
      </w:rPr>
    </w:lvl>
    <w:lvl w:ilvl="5">
      <w:start w:val="0"/>
      <w:numFmt w:val="bullet"/>
      <w:lvlText w:val="•"/>
      <w:lvlJc w:val="left"/>
      <w:pPr>
        <w:ind w:left="6174" w:hanging="361"/>
      </w:pPr>
      <w:rPr>
        <w:rFonts w:hint="default"/>
        <w:lang w:val="en-US" w:eastAsia="en-US" w:bidi="ar-SA"/>
      </w:rPr>
    </w:lvl>
    <w:lvl w:ilvl="6">
      <w:start w:val="0"/>
      <w:numFmt w:val="bullet"/>
      <w:lvlText w:val="•"/>
      <w:lvlJc w:val="left"/>
      <w:pPr>
        <w:ind w:left="7025" w:hanging="361"/>
      </w:pPr>
      <w:rPr>
        <w:rFonts w:hint="default"/>
        <w:lang w:val="en-US" w:eastAsia="en-US" w:bidi="ar-SA"/>
      </w:rPr>
    </w:lvl>
    <w:lvl w:ilvl="7">
      <w:start w:val="0"/>
      <w:numFmt w:val="bullet"/>
      <w:lvlText w:val="•"/>
      <w:lvlJc w:val="left"/>
      <w:pPr>
        <w:ind w:left="7876" w:hanging="361"/>
      </w:pPr>
      <w:rPr>
        <w:rFonts w:hint="default"/>
        <w:lang w:val="en-US" w:eastAsia="en-US" w:bidi="ar-SA"/>
      </w:rPr>
    </w:lvl>
    <w:lvl w:ilvl="8">
      <w:start w:val="0"/>
      <w:numFmt w:val="bullet"/>
      <w:lvlText w:val="•"/>
      <w:lvlJc w:val="left"/>
      <w:pPr>
        <w:ind w:left="8727" w:hanging="361"/>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0"/>
      <w:szCs w:val="20"/>
      <w:lang w:val="en-US" w:eastAsia="en-US" w:bidi="ar-SA"/>
    </w:rPr>
  </w:style>
  <w:style w:styleId="Heading1" w:type="paragraph">
    <w:name w:val="Heading 1"/>
    <w:basedOn w:val="Normal"/>
    <w:uiPriority w:val="1"/>
    <w:qFormat/>
    <w:pPr>
      <w:ind w:left="1200"/>
      <w:outlineLvl w:val="1"/>
    </w:pPr>
    <w:rPr>
      <w:rFonts w:ascii="Arial" w:hAnsi="Arial" w:eastAsia="Arial" w:cs="Arial"/>
      <w:b/>
      <w:bCs/>
      <w:sz w:val="32"/>
      <w:szCs w:val="32"/>
      <w:lang w:val="en-US" w:eastAsia="en-US" w:bidi="ar-SA"/>
    </w:rPr>
  </w:style>
  <w:style w:styleId="Heading2" w:type="paragraph">
    <w:name w:val="Heading 2"/>
    <w:basedOn w:val="Normal"/>
    <w:uiPriority w:val="1"/>
    <w:qFormat/>
    <w:pPr>
      <w:ind w:left="1200"/>
      <w:outlineLvl w:val="2"/>
    </w:pPr>
    <w:rPr>
      <w:rFonts w:ascii="Arial" w:hAnsi="Arial" w:eastAsia="Arial" w:cs="Arial"/>
      <w:b/>
      <w:bCs/>
      <w:sz w:val="28"/>
      <w:szCs w:val="28"/>
      <w:lang w:val="en-US" w:eastAsia="en-US" w:bidi="ar-SA"/>
    </w:rPr>
  </w:style>
  <w:style w:styleId="ListParagraph" w:type="paragraph">
    <w:name w:val="List Paragraph"/>
    <w:basedOn w:val="Normal"/>
    <w:uiPriority w:val="1"/>
    <w:qFormat/>
    <w:pPr>
      <w:ind w:left="1921" w:hanging="361"/>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1.png"/><Relationship Id="rId39" Type="http://schemas.openxmlformats.org/officeDocument/2006/relationships/image" Target="media/image34.jpeg"/><Relationship Id="rId21" Type="http://schemas.openxmlformats.org/officeDocument/2006/relationships/image" Target="media/image17.png"/><Relationship Id="rId34" Type="http://schemas.openxmlformats.org/officeDocument/2006/relationships/image" Target="media/image29.jpeg"/><Relationship Id="rId42" Type="http://schemas.openxmlformats.org/officeDocument/2006/relationships/image" Target="media/image37.jpeg"/><Relationship Id="rId47" Type="http://schemas.openxmlformats.org/officeDocument/2006/relationships/hyperlink" Target="https://www.australiansuper.com/investments/your-investment-options/pre-mixed-investment-choice" TargetMode="External"/><Relationship Id="rId50" Type="http://schemas.openxmlformats.org/officeDocument/2006/relationships/customXml" Target="../customXml/item2.xml"/><Relationship Id="rId7" Type="http://schemas.openxmlformats.org/officeDocument/2006/relationships/image" Target="media/image3.png"/><Relationship Id="rId2" Type="http://schemas.openxmlformats.org/officeDocument/2006/relationships/fontTable" Target="fontTable.xml"/><Relationship Id="rId16" Type="http://schemas.openxmlformats.org/officeDocument/2006/relationships/image" Target="media/image12.png"/><Relationship Id="rId29" Type="http://schemas.openxmlformats.org/officeDocument/2006/relationships/image" Target="media/image24.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7.jpeg"/><Relationship Id="rId37" Type="http://schemas.openxmlformats.org/officeDocument/2006/relationships/image" Target="media/image32.png"/><Relationship Id="rId40" Type="http://schemas.openxmlformats.org/officeDocument/2006/relationships/image" Target="media/image35.jpeg"/><Relationship Id="rId45" Type="http://schemas.openxmlformats.org/officeDocument/2006/relationships/hyperlink" Target="https://www.health.gov.au/resources/publications/final-report-of-the-aged-care-taskforce?language=en" TargetMode="Externa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3.jpeg"/><Relationship Id="rId36" Type="http://schemas.openxmlformats.org/officeDocument/2006/relationships/image" Target="media/image31.png"/><Relationship Id="rId49" Type="http://schemas.openxmlformats.org/officeDocument/2006/relationships/customXml" Target="../customXml/item1.xml"/><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6.png"/><Relationship Id="rId44" Type="http://schemas.openxmlformats.org/officeDocument/2006/relationships/hyperlink" Target="https://aga.gov.au/publications/life-tables/australian-life-tables-2020-22" TargetMode="Externa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2.jpe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numbering" Target="numbering.xml"/><Relationship Id="rId8" Type="http://schemas.openxmlformats.org/officeDocument/2006/relationships/image" Target="media/image4.png"/><Relationship Id="rId51" Type="http://schemas.openxmlformats.org/officeDocument/2006/relationships/customXml" Target="../customXml/item3.xml"/><Relationship Id="rId3" Type="http://schemas.openxmlformats.org/officeDocument/2006/relationships/theme" Target="theme/theme1.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oter" Target="footer1.xml"/><Relationship Id="rId33" Type="http://schemas.openxmlformats.org/officeDocument/2006/relationships/image" Target="media/image28.jpeg"/><Relationship Id="rId38" Type="http://schemas.openxmlformats.org/officeDocument/2006/relationships/image" Target="media/image33.jpeg"/><Relationship Id="rId46" Type="http://schemas.openxmlformats.org/officeDocument/2006/relationships/hyperlink" Target="https://www.gen-agedcaredata.gov.au/topics/people-using-aged-care" TargetMode="External"/><Relationship Id="rId20" Type="http://schemas.openxmlformats.org/officeDocument/2006/relationships/image" Target="media/image16.png"/><Relationship Id="rId41" Type="http://schemas.openxmlformats.org/officeDocument/2006/relationships/image" Target="media/image36.png"/><Relationship Id="rId1"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FCBB976C53F54F87893E96891BF51F" ma:contentTypeVersion="14" ma:contentTypeDescription="Create a new document." ma:contentTypeScope="" ma:versionID="9e7968d7657de0ef1ee9e3a0fbd34f8b">
  <xsd:schema xmlns:xsd="http://www.w3.org/2001/XMLSchema" xmlns:xs="http://www.w3.org/2001/XMLSchema" xmlns:p="http://schemas.microsoft.com/office/2006/metadata/properties" xmlns:ns2="ab56e84a-2dbb-428f-b153-7df3e36aa938" xmlns:ns3="99fac5be-2bd9-4c6a-9e9d-db14f1864669" targetNamespace="http://schemas.microsoft.com/office/2006/metadata/properties" ma:root="true" ma:fieldsID="f5e7e59bc40f415e65a42e73f789446e" ns2:_="" ns3:_="">
    <xsd:import namespace="ab56e84a-2dbb-428f-b153-7df3e36aa938"/>
    <xsd:import namespace="99fac5be-2bd9-4c6a-9e9d-db14f18646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6e84a-2dbb-428f-b153-7df3e36aa9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1be3495-2e3e-4f85-8c99-1ac004b347a4}" ma:internalName="TaxCatchAll" ma:showField="CatchAllData" ma:web="ab56e84a-2dbb-428f-b153-7df3e36aa9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fac5be-2bd9-4c6a-9e9d-db14f18646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9de3cb-4d49-453d-b800-5d7115dc628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fac5be-2bd9-4c6a-9e9d-db14f1864669">
      <Terms xmlns="http://schemas.microsoft.com/office/infopath/2007/PartnerControls"/>
    </lcf76f155ced4ddcb4097134ff3c332f>
    <TaxCatchAll xmlns="ab56e84a-2dbb-428f-b153-7df3e36aa938" xsi:nil="true"/>
  </documentManagement>
</p:properties>
</file>

<file path=customXml/itemProps1.xml><?xml version="1.0" encoding="utf-8"?>
<ds:datastoreItem xmlns:ds="http://schemas.openxmlformats.org/officeDocument/2006/customXml" ds:itemID="{7C9D6486-EEE5-44DD-A818-08B5E68927F3}"/>
</file>

<file path=customXml/itemProps2.xml><?xml version="1.0" encoding="utf-8"?>
<ds:datastoreItem xmlns:ds="http://schemas.openxmlformats.org/officeDocument/2006/customXml" ds:itemID="{34229BAE-3869-4C77-A175-2287D30888D6}"/>
</file>

<file path=customXml/itemProps3.xml><?xml version="1.0" encoding="utf-8"?>
<ds:datastoreItem xmlns:ds="http://schemas.openxmlformats.org/officeDocument/2006/customXml" ds:itemID="{1B264241-9F44-4C0C-A02B-96967A4B888F}"/>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2025-07-22T04:26:28Z</dcterms:created>
  <dcterms:modified xsi:type="dcterms:W3CDTF">2025-07-22T04:26:28Z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2025-04-11T00:00:00Z</vt:filetime>
  </property>
  <property fmtid="{D5CDD505-2E9C-101B-9397-08002B2CF9AE}" pid="3" name="Creator">
    <vt:lpwstr>Microsoft® Word 2016</vt:lpwstr>
  </property>
  <property fmtid="{D5CDD505-2E9C-101B-9397-08002B2CF9AE}" pid="4" name="LastSaved">
    <vt:filetime>2025-07-22T00:00:00Z</vt:filetime>
  </property>
  <property fmtid="{D5CDD505-2E9C-101B-9397-08002B2CF9AE}" pid="5" name="Producer">
    <vt:lpwstr>www.ilovepdf.com</vt:lpwstr>
  </property>
  <property fmtid="{D5CDD505-2E9C-101B-9397-08002B2CF9AE}" pid="6" name="ContentTypeId">
    <vt:lpwstr>0x01010039FCBB976C53F54F87893E96891BF51F</vt:lpwstr>
  </property>
</Properties>
</file>